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E0D5" w14:textId="77777777" w:rsidR="008D353E" w:rsidRDefault="008D353E" w:rsidP="00B71028">
      <w:pPr>
        <w:spacing w:line="276" w:lineRule="auto"/>
        <w:jc w:val="center"/>
        <w:rPr>
          <w:rFonts w:ascii="Times New Roman" w:hAnsi="Times New Roman" w:cs="Times New Roman"/>
          <w:b/>
          <w:bCs/>
          <w:sz w:val="32"/>
          <w:szCs w:val="32"/>
        </w:rPr>
      </w:pPr>
    </w:p>
    <w:p w14:paraId="33977F5C" w14:textId="5FED4A30" w:rsidR="00D65411" w:rsidRDefault="007F58D8" w:rsidP="00B71028">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Corporate Groups in the UK: Separate Legal Personality, Limited Liability and the Law of Tort</w:t>
      </w:r>
    </w:p>
    <w:p w14:paraId="52CA095D" w14:textId="59E9481A" w:rsidR="001E65D1" w:rsidRDefault="001E65D1" w:rsidP="00B71028">
      <w:pPr>
        <w:spacing w:line="276" w:lineRule="auto"/>
        <w:jc w:val="center"/>
        <w:rPr>
          <w:rFonts w:ascii="Times New Roman" w:hAnsi="Times New Roman" w:cs="Times New Roman"/>
          <w:sz w:val="32"/>
          <w:szCs w:val="32"/>
        </w:rPr>
      </w:pPr>
      <w:r>
        <w:rPr>
          <w:rFonts w:ascii="Times New Roman" w:hAnsi="Times New Roman" w:cs="Times New Roman"/>
          <w:sz w:val="32"/>
          <w:szCs w:val="32"/>
        </w:rPr>
        <w:t>Paul Davies*</w:t>
      </w:r>
    </w:p>
    <w:p w14:paraId="68A418B3" w14:textId="4A5E760D" w:rsidR="0062562E" w:rsidRDefault="0062562E" w:rsidP="00B71028">
      <w:pPr>
        <w:spacing w:line="276" w:lineRule="auto"/>
        <w:jc w:val="center"/>
        <w:rPr>
          <w:rFonts w:ascii="Times New Roman" w:hAnsi="Times New Roman" w:cs="Times New Roman"/>
          <w:b/>
          <w:bCs/>
          <w:sz w:val="32"/>
          <w:szCs w:val="32"/>
        </w:rPr>
      </w:pPr>
      <w:r w:rsidRPr="0062562E">
        <w:rPr>
          <w:rFonts w:ascii="Times New Roman" w:hAnsi="Times New Roman" w:cs="Times New Roman"/>
          <w:b/>
          <w:bCs/>
          <w:sz w:val="32"/>
          <w:szCs w:val="32"/>
        </w:rPr>
        <w:t>Abstract</w:t>
      </w:r>
    </w:p>
    <w:p w14:paraId="2F4F4164" w14:textId="77777777" w:rsidR="00520D8E" w:rsidRDefault="0062562E" w:rsidP="0062562E">
      <w:pPr>
        <w:spacing w:line="276" w:lineRule="auto"/>
        <w:jc w:val="both"/>
        <w:rPr>
          <w:rFonts w:ascii="Times New Roman" w:hAnsi="Times New Roman" w:cs="Times New Roman"/>
        </w:rPr>
      </w:pPr>
      <w:r>
        <w:rPr>
          <w:rFonts w:ascii="Times New Roman" w:hAnsi="Times New Roman" w:cs="Times New Roman"/>
        </w:rPr>
        <w:t>Applying the linked doctrines of separate legal personality and limited liability within corporate groups has long been a controversial issue in m</w:t>
      </w:r>
      <w:r w:rsidR="00520D8E">
        <w:rPr>
          <w:rFonts w:ascii="Times New Roman" w:hAnsi="Times New Roman" w:cs="Times New Roman"/>
        </w:rPr>
        <w:t>any</w:t>
      </w:r>
      <w:r>
        <w:rPr>
          <w:rFonts w:ascii="Times New Roman" w:hAnsi="Times New Roman" w:cs="Times New Roman"/>
        </w:rPr>
        <w:t xml:space="preserve"> legal systems. In contrast, their application between free-standing companies and outsiders can be defended on </w:t>
      </w:r>
      <w:proofErr w:type="gramStart"/>
      <w:r>
        <w:rPr>
          <w:rFonts w:ascii="Times New Roman" w:hAnsi="Times New Roman" w:cs="Times New Roman"/>
        </w:rPr>
        <w:t>a number of</w:t>
      </w:r>
      <w:proofErr w:type="gramEnd"/>
      <w:r>
        <w:rPr>
          <w:rFonts w:ascii="Times New Roman" w:hAnsi="Times New Roman" w:cs="Times New Roman"/>
        </w:rPr>
        <w:t xml:space="preserve"> </w:t>
      </w:r>
      <w:r w:rsidR="00520D8E">
        <w:rPr>
          <w:rFonts w:ascii="Times New Roman" w:hAnsi="Times New Roman" w:cs="Times New Roman"/>
        </w:rPr>
        <w:t>grounds</w:t>
      </w:r>
      <w:r>
        <w:rPr>
          <w:rFonts w:ascii="Times New Roman" w:hAnsi="Times New Roman" w:cs="Times New Roman"/>
        </w:rPr>
        <w:t xml:space="preserve">, which, although not accepted by all commentators, </w:t>
      </w:r>
      <w:r w:rsidR="00520D8E">
        <w:rPr>
          <w:rFonts w:ascii="Times New Roman" w:hAnsi="Times New Roman" w:cs="Times New Roman"/>
        </w:rPr>
        <w:t xml:space="preserve">have satisfied the </w:t>
      </w:r>
      <w:proofErr w:type="gramStart"/>
      <w:r w:rsidR="00520D8E">
        <w:rPr>
          <w:rFonts w:ascii="Times New Roman" w:hAnsi="Times New Roman" w:cs="Times New Roman"/>
        </w:rPr>
        <w:t>law-makers</w:t>
      </w:r>
      <w:proofErr w:type="gramEnd"/>
      <w:r w:rsidR="00520D8E">
        <w:rPr>
          <w:rFonts w:ascii="Times New Roman" w:hAnsi="Times New Roman" w:cs="Times New Roman"/>
        </w:rPr>
        <w:t xml:space="preserve"> in most modern corporate law systems.</w:t>
      </w:r>
    </w:p>
    <w:p w14:paraId="4BBD1760" w14:textId="395E8E86" w:rsidR="0062562E" w:rsidRDefault="00520D8E" w:rsidP="0062562E">
      <w:pPr>
        <w:spacing w:line="276" w:lineRule="auto"/>
        <w:jc w:val="both"/>
        <w:rPr>
          <w:rFonts w:ascii="Times New Roman" w:hAnsi="Times New Roman" w:cs="Times New Roman"/>
        </w:rPr>
      </w:pPr>
      <w:r>
        <w:rPr>
          <w:rFonts w:ascii="Times New Roman" w:hAnsi="Times New Roman" w:cs="Times New Roman"/>
        </w:rPr>
        <w:t xml:space="preserve">This article takes as its starting point the decision of the English Court of Appeal, </w:t>
      </w:r>
      <w:r>
        <w:rPr>
          <w:rFonts w:ascii="Times New Roman" w:hAnsi="Times New Roman" w:cs="Times New Roman"/>
          <w:i/>
          <w:iCs/>
        </w:rPr>
        <w:t xml:space="preserve">Adams v Cape Industries plc </w:t>
      </w:r>
      <w:r>
        <w:rPr>
          <w:rFonts w:ascii="Times New Roman" w:hAnsi="Times New Roman" w:cs="Times New Roman"/>
        </w:rPr>
        <w:t>(1990), which is noted for a firm application of the doctrine of separate legal personality within groups. The article then does three things. First, it analyses the relationship between separate legal personality and limited liability. It concludes that the function of shielding shareholders (members) of companies against liability to creditors (both voluntary and involuntary) is achieved through separate legal personality</w:t>
      </w:r>
      <w:r w:rsidR="00FB6FB9">
        <w:rPr>
          <w:rFonts w:ascii="Times New Roman" w:hAnsi="Times New Roman" w:cs="Times New Roman"/>
        </w:rPr>
        <w:t xml:space="preserve"> when the company is a going concern</w:t>
      </w:r>
      <w:r>
        <w:rPr>
          <w:rFonts w:ascii="Times New Roman" w:hAnsi="Times New Roman" w:cs="Times New Roman"/>
        </w:rPr>
        <w:t xml:space="preserve">. </w:t>
      </w:r>
      <w:r w:rsidR="000D6F97">
        <w:rPr>
          <w:rFonts w:ascii="Times New Roman" w:hAnsi="Times New Roman" w:cs="Times New Roman"/>
        </w:rPr>
        <w:t>Limited liability is a secondary issue in this context</w:t>
      </w:r>
      <w:r w:rsidR="000E3617">
        <w:rPr>
          <w:rFonts w:ascii="Times New Roman" w:hAnsi="Times New Roman" w:cs="Times New Roman"/>
        </w:rPr>
        <w:t>, though it is usually present as well</w:t>
      </w:r>
      <w:r w:rsidR="000D6F97">
        <w:rPr>
          <w:rFonts w:ascii="Times New Roman" w:hAnsi="Times New Roman" w:cs="Times New Roman"/>
        </w:rPr>
        <w:t xml:space="preserve">. </w:t>
      </w:r>
      <w:r>
        <w:rPr>
          <w:rFonts w:ascii="Times New Roman" w:hAnsi="Times New Roman" w:cs="Times New Roman"/>
        </w:rPr>
        <w:t>Limited liability plays a role only when the company is in an insolvency procedure</w:t>
      </w:r>
      <w:r w:rsidR="00FB6FB9">
        <w:rPr>
          <w:rFonts w:ascii="Times New Roman" w:hAnsi="Times New Roman" w:cs="Times New Roman"/>
        </w:rPr>
        <w:t>,</w:t>
      </w:r>
      <w:r>
        <w:rPr>
          <w:rFonts w:ascii="Times New Roman" w:hAnsi="Times New Roman" w:cs="Times New Roman"/>
        </w:rPr>
        <w:t xml:space="preserve"> where shareholders are exposed not to direct actions by creditors but </w:t>
      </w:r>
      <w:r w:rsidR="00FB6FB9">
        <w:rPr>
          <w:rFonts w:ascii="Times New Roman" w:hAnsi="Times New Roman" w:cs="Times New Roman"/>
        </w:rPr>
        <w:t>to</w:t>
      </w:r>
      <w:r>
        <w:rPr>
          <w:rFonts w:ascii="Times New Roman" w:hAnsi="Times New Roman" w:cs="Times New Roman"/>
        </w:rPr>
        <w:t xml:space="preserve"> actions by the company</w:t>
      </w:r>
      <w:r w:rsidR="00FB6FB9">
        <w:rPr>
          <w:rFonts w:ascii="Times New Roman" w:hAnsi="Times New Roman" w:cs="Times New Roman"/>
        </w:rPr>
        <w:t xml:space="preserve"> (brought by those in charge of the procedure) to swell the assets of the company. Of course, such actions are functionally for the benefit of the creditors and insolvency is the point at which the members potential exposure is of greatest concern to them.</w:t>
      </w:r>
      <w:r>
        <w:rPr>
          <w:rFonts w:ascii="Times New Roman" w:hAnsi="Times New Roman" w:cs="Times New Roman"/>
        </w:rPr>
        <w:t xml:space="preserve"> </w:t>
      </w:r>
    </w:p>
    <w:p w14:paraId="0A6F191F" w14:textId="2BD07575" w:rsidR="00A77603" w:rsidRDefault="00A77603" w:rsidP="0062562E">
      <w:pPr>
        <w:spacing w:line="276" w:lineRule="auto"/>
        <w:jc w:val="both"/>
        <w:rPr>
          <w:rFonts w:ascii="Times New Roman" w:hAnsi="Times New Roman" w:cs="Times New Roman"/>
        </w:rPr>
      </w:pPr>
      <w:r>
        <w:rPr>
          <w:rFonts w:ascii="Times New Roman" w:hAnsi="Times New Roman" w:cs="Times New Roman"/>
        </w:rPr>
        <w:t xml:space="preserve">The second part analyses the decision of the Court of Appeal in </w:t>
      </w:r>
      <w:r>
        <w:rPr>
          <w:rFonts w:ascii="Times New Roman" w:hAnsi="Times New Roman" w:cs="Times New Roman"/>
          <w:i/>
          <w:iCs/>
        </w:rPr>
        <w:t>Adams v Cape Industries plc</w:t>
      </w:r>
      <w:r>
        <w:rPr>
          <w:rFonts w:ascii="Times New Roman" w:hAnsi="Times New Roman" w:cs="Times New Roman"/>
        </w:rPr>
        <w:t xml:space="preserve">. It focusses on the court’s rejection of the various qualifications to the doctrine of separate legal personality which have been suggested in previous decisions and commentary. Although the result is a near bright-line legal rule, which is helpful in terms of legal clarity, the decision can be criticised for failing to show any sensitivity to the group context of the case or, even more importantly, to the fact that the claimants were involuntary creditors, being tort victims. </w:t>
      </w:r>
    </w:p>
    <w:p w14:paraId="0BABE776" w14:textId="7F6CB2C7" w:rsidR="0044133E" w:rsidRDefault="00A77603" w:rsidP="0062562E">
      <w:pPr>
        <w:spacing w:line="276" w:lineRule="auto"/>
        <w:jc w:val="both"/>
        <w:rPr>
          <w:rFonts w:ascii="Times New Roman" w:hAnsi="Times New Roman" w:cs="Times New Roman"/>
        </w:rPr>
      </w:pPr>
      <w:r>
        <w:rPr>
          <w:rFonts w:ascii="Times New Roman" w:hAnsi="Times New Roman" w:cs="Times New Roman"/>
        </w:rPr>
        <w:t xml:space="preserve">The third part shows how the English law of tort has responded to these points by recognising a duty of care on the parent company directly to those harmed by the subsidiary’s actions. The circumstances in which this duty arises are analysed and the duty is compared with a strict liability approach and the due diligence obligation embodied in the EU Corporate Sustainability Due Diligence Directive. It is suggested that a due care approach is </w:t>
      </w:r>
      <w:r w:rsidR="00746155">
        <w:rPr>
          <w:rFonts w:ascii="Times New Roman" w:hAnsi="Times New Roman" w:cs="Times New Roman"/>
        </w:rPr>
        <w:t>marginally preferable to strict liability and that the extent to which the parent duty will converge with due diligence remains to be determined.</w:t>
      </w:r>
    </w:p>
    <w:p w14:paraId="7963A98E" w14:textId="707350AC" w:rsidR="00A77603" w:rsidRPr="00A77603" w:rsidRDefault="0044133E" w:rsidP="0044133E">
      <w:pPr>
        <w:rPr>
          <w:rFonts w:ascii="Times New Roman" w:hAnsi="Times New Roman" w:cs="Times New Roman"/>
        </w:rPr>
      </w:pPr>
      <w:r>
        <w:rPr>
          <w:rFonts w:ascii="Times New Roman" w:hAnsi="Times New Roman" w:cs="Times New Roman"/>
        </w:rPr>
        <w:br w:type="page"/>
      </w:r>
    </w:p>
    <w:p w14:paraId="535CF06B" w14:textId="77777777" w:rsidR="00FB6FB9" w:rsidRPr="0062562E" w:rsidRDefault="00FB6FB9" w:rsidP="0062562E">
      <w:pPr>
        <w:spacing w:line="276" w:lineRule="auto"/>
        <w:jc w:val="both"/>
        <w:rPr>
          <w:rFonts w:ascii="Times New Roman" w:hAnsi="Times New Roman" w:cs="Times New Roman"/>
        </w:rPr>
      </w:pPr>
    </w:p>
    <w:p w14:paraId="143B187A" w14:textId="77777777" w:rsidR="0062562E" w:rsidRPr="001E65D1" w:rsidRDefault="0062562E" w:rsidP="00B71028">
      <w:pPr>
        <w:spacing w:line="276" w:lineRule="auto"/>
        <w:jc w:val="center"/>
        <w:rPr>
          <w:rFonts w:ascii="Times New Roman" w:hAnsi="Times New Roman" w:cs="Times New Roman"/>
          <w:sz w:val="32"/>
          <w:szCs w:val="32"/>
        </w:rPr>
      </w:pPr>
    </w:p>
    <w:p w14:paraId="6ABADD74" w14:textId="3E8CD53A" w:rsidR="004E15E8" w:rsidRPr="004E15E8" w:rsidRDefault="00D65411" w:rsidP="004E15E8">
      <w:pPr>
        <w:spacing w:line="276" w:lineRule="auto"/>
        <w:jc w:val="both"/>
        <w:rPr>
          <w:rFonts w:ascii="Times New Roman" w:hAnsi="Times New Roman" w:cs="Times New Roman"/>
        </w:rPr>
      </w:pPr>
      <w:r>
        <w:rPr>
          <w:rFonts w:ascii="Times New Roman" w:hAnsi="Times New Roman" w:cs="Times New Roman"/>
          <w:i/>
          <w:iCs/>
        </w:rPr>
        <w:t>Adams v Cape Industries plc</w:t>
      </w:r>
      <w:r w:rsidRPr="003045E9">
        <w:rPr>
          <w:rStyle w:val="ab"/>
          <w:rFonts w:ascii="Times New Roman" w:hAnsi="Times New Roman" w:cs="Times New Roman"/>
        </w:rPr>
        <w:footnoteReference w:id="1"/>
      </w:r>
      <w:r>
        <w:rPr>
          <w:rFonts w:ascii="Times New Roman" w:hAnsi="Times New Roman" w:cs="Times New Roman"/>
        </w:rPr>
        <w:t xml:space="preserve"> is typically cited in relation to the doctrine of separate corporate personality, </w:t>
      </w:r>
      <w:proofErr w:type="spellStart"/>
      <w:r>
        <w:rPr>
          <w:rFonts w:ascii="Times New Roman" w:hAnsi="Times New Roman" w:cs="Times New Roman"/>
        </w:rPr>
        <w:t>ie</w:t>
      </w:r>
      <w:proofErr w:type="spellEnd"/>
      <w:r>
        <w:rPr>
          <w:rFonts w:ascii="Times New Roman" w:hAnsi="Times New Roman" w:cs="Times New Roman"/>
        </w:rPr>
        <w:t xml:space="preserve"> the notion that, upon registration, a company is formed which is separate from its founding members and any later shareholders or members</w:t>
      </w:r>
      <w:r>
        <w:rPr>
          <w:rFonts w:ascii="Times New Roman" w:hAnsi="Times New Roman" w:cs="Times New Roman"/>
          <w:i/>
          <w:iCs/>
        </w:rPr>
        <w:t xml:space="preserve"> </w:t>
      </w:r>
      <w:r>
        <w:rPr>
          <w:rFonts w:ascii="Times New Roman" w:hAnsi="Times New Roman" w:cs="Times New Roman"/>
        </w:rPr>
        <w:t>(as well as its directors, employees or creditors).</w:t>
      </w:r>
      <w:r w:rsidRPr="004A4CD6">
        <w:t xml:space="preserve"> </w:t>
      </w:r>
      <w:r>
        <w:rPr>
          <w:rFonts w:ascii="Times New Roman" w:hAnsi="Times New Roman" w:cs="Times New Roman"/>
        </w:rPr>
        <w:t xml:space="preserve">This is what s. 16 of the </w:t>
      </w:r>
      <w:r w:rsidRPr="004A4CD6">
        <w:rPr>
          <w:rFonts w:ascii="Times New Roman" w:hAnsi="Times New Roman" w:cs="Times New Roman"/>
        </w:rPr>
        <w:t xml:space="preserve">Companies Act 2006 </w:t>
      </w:r>
      <w:r w:rsidR="0044133E">
        <w:rPr>
          <w:rFonts w:ascii="Times New Roman" w:hAnsi="Times New Roman" w:cs="Times New Roman"/>
        </w:rPr>
        <w:t xml:space="preserve">(UK) </w:t>
      </w:r>
      <w:r w:rsidRPr="004A4CD6">
        <w:rPr>
          <w:rFonts w:ascii="Times New Roman" w:hAnsi="Times New Roman" w:cs="Times New Roman"/>
        </w:rPr>
        <w:t xml:space="preserve">and its predecessors have been understood </w:t>
      </w:r>
      <w:r>
        <w:rPr>
          <w:rFonts w:ascii="Times New Roman" w:hAnsi="Times New Roman" w:cs="Times New Roman"/>
        </w:rPr>
        <w:t xml:space="preserve">to establish at least </w:t>
      </w:r>
      <w:r w:rsidRPr="004A4CD6">
        <w:rPr>
          <w:rFonts w:ascii="Times New Roman" w:hAnsi="Times New Roman" w:cs="Times New Roman"/>
        </w:rPr>
        <w:t xml:space="preserve">since the House of Lords’ decision in </w:t>
      </w:r>
      <w:r w:rsidRPr="00BF7409">
        <w:rPr>
          <w:rFonts w:ascii="Times New Roman" w:hAnsi="Times New Roman" w:cs="Times New Roman"/>
          <w:i/>
          <w:iCs/>
        </w:rPr>
        <w:t>Salomon v Salomon Ltd</w:t>
      </w:r>
      <w:r>
        <w:rPr>
          <w:rFonts w:ascii="Times New Roman" w:hAnsi="Times New Roman" w:cs="Times New Roman"/>
        </w:rPr>
        <w:t>.</w:t>
      </w:r>
      <w:r>
        <w:rPr>
          <w:rStyle w:val="ab"/>
          <w:rFonts w:ascii="Times New Roman" w:hAnsi="Times New Roman" w:cs="Times New Roman"/>
        </w:rPr>
        <w:footnoteReference w:id="2"/>
      </w:r>
      <w:r>
        <w:rPr>
          <w:rFonts w:ascii="Times New Roman" w:hAnsi="Times New Roman" w:cs="Times New Roman"/>
        </w:rPr>
        <w:t xml:space="preserve"> </w:t>
      </w:r>
      <w:r w:rsidR="000633C1">
        <w:rPr>
          <w:rFonts w:ascii="Times New Roman" w:hAnsi="Times New Roman" w:cs="Times New Roman"/>
        </w:rPr>
        <w:t xml:space="preserve">More precisely, </w:t>
      </w:r>
      <w:r w:rsidR="000633C1">
        <w:rPr>
          <w:rFonts w:ascii="Times New Roman" w:hAnsi="Times New Roman" w:cs="Times New Roman"/>
          <w:i/>
          <w:iCs/>
        </w:rPr>
        <w:t xml:space="preserve">Adams </w:t>
      </w:r>
      <w:r w:rsidR="000633C1">
        <w:rPr>
          <w:rFonts w:ascii="Times New Roman" w:hAnsi="Times New Roman" w:cs="Times New Roman"/>
        </w:rPr>
        <w:t>is invariably cited for its narrow approach to the common law “doctrine” of “piercing the corporate veil”,</w:t>
      </w:r>
      <w:r w:rsidR="000633C1">
        <w:rPr>
          <w:rStyle w:val="ab"/>
          <w:rFonts w:ascii="Times New Roman" w:hAnsi="Times New Roman" w:cs="Times New Roman"/>
        </w:rPr>
        <w:footnoteReference w:id="3"/>
      </w:r>
      <w:r w:rsidR="000633C1">
        <w:rPr>
          <w:rFonts w:ascii="Times New Roman" w:hAnsi="Times New Roman" w:cs="Times New Roman"/>
        </w:rPr>
        <w:t xml:space="preserve"> which sets aside the separateness of the company’s persona</w:t>
      </w:r>
      <w:r w:rsidR="00E037B7">
        <w:rPr>
          <w:rFonts w:ascii="Times New Roman" w:hAnsi="Times New Roman" w:cs="Times New Roman"/>
        </w:rPr>
        <w:t xml:space="preserve"> in certain cases</w:t>
      </w:r>
      <w:r w:rsidR="000633C1">
        <w:rPr>
          <w:rFonts w:ascii="Times New Roman" w:hAnsi="Times New Roman" w:cs="Times New Roman"/>
        </w:rPr>
        <w:t>.</w:t>
      </w:r>
      <w:r w:rsidR="000633C1" w:rsidRPr="00383ABC">
        <w:rPr>
          <w:rFonts w:ascii="Times New Roman" w:hAnsi="Times New Roman" w:cs="Times New Roman"/>
        </w:rPr>
        <w:t xml:space="preserve"> </w:t>
      </w:r>
      <w:r w:rsidR="004E15E8">
        <w:rPr>
          <w:rFonts w:ascii="Times New Roman" w:hAnsi="Times New Roman" w:cs="Times New Roman"/>
        </w:rPr>
        <w:t xml:space="preserve">A question which immediately arises out of this case is the relationship between separate legal personality and limited liability, the latter not being formally in issue in the </w:t>
      </w:r>
      <w:r w:rsidR="004E15E8">
        <w:rPr>
          <w:rFonts w:ascii="Times New Roman" w:hAnsi="Times New Roman" w:cs="Times New Roman"/>
          <w:i/>
          <w:iCs/>
        </w:rPr>
        <w:t xml:space="preserve">Adams </w:t>
      </w:r>
      <w:r w:rsidR="004E15E8">
        <w:rPr>
          <w:rFonts w:ascii="Times New Roman" w:hAnsi="Times New Roman" w:cs="Times New Roman"/>
        </w:rPr>
        <w:t xml:space="preserve">case. </w:t>
      </w:r>
    </w:p>
    <w:p w14:paraId="1909BBCB" w14:textId="6D611FA2" w:rsidR="00D65411" w:rsidRDefault="004E15E8" w:rsidP="00B71028">
      <w:pPr>
        <w:spacing w:line="276" w:lineRule="auto"/>
        <w:jc w:val="both"/>
        <w:rPr>
          <w:rFonts w:ascii="Times New Roman" w:hAnsi="Times New Roman" w:cs="Times New Roman"/>
        </w:rPr>
      </w:pPr>
      <w:r>
        <w:rPr>
          <w:rFonts w:ascii="Times New Roman" w:hAnsi="Times New Roman" w:cs="Times New Roman"/>
        </w:rPr>
        <w:t>The two doctrines</w:t>
      </w:r>
      <w:r w:rsidR="00464A36">
        <w:rPr>
          <w:rFonts w:ascii="Times New Roman" w:hAnsi="Times New Roman" w:cs="Times New Roman"/>
        </w:rPr>
        <w:t xml:space="preserve">, of course, </w:t>
      </w:r>
      <w:r>
        <w:rPr>
          <w:rFonts w:ascii="Times New Roman" w:hAnsi="Times New Roman" w:cs="Times New Roman"/>
        </w:rPr>
        <w:t xml:space="preserve">are </w:t>
      </w:r>
      <w:r w:rsidR="00464A36">
        <w:rPr>
          <w:rFonts w:ascii="Times New Roman" w:hAnsi="Times New Roman" w:cs="Times New Roman"/>
        </w:rPr>
        <w:t xml:space="preserve">routinely </w:t>
      </w:r>
      <w:r>
        <w:rPr>
          <w:rFonts w:ascii="Times New Roman" w:hAnsi="Times New Roman" w:cs="Times New Roman"/>
        </w:rPr>
        <w:t xml:space="preserve">run together </w:t>
      </w:r>
      <w:r w:rsidR="00464A36">
        <w:rPr>
          <w:rFonts w:ascii="Times New Roman" w:hAnsi="Times New Roman" w:cs="Times New Roman"/>
        </w:rPr>
        <w:t>by corporate lawyers, usually without too much thought about the link</w:t>
      </w:r>
      <w:r>
        <w:rPr>
          <w:rFonts w:ascii="Times New Roman" w:hAnsi="Times New Roman" w:cs="Times New Roman"/>
        </w:rPr>
        <w:t>s between them</w:t>
      </w:r>
      <w:r w:rsidR="00464A36">
        <w:rPr>
          <w:rFonts w:ascii="Times New Roman" w:hAnsi="Times New Roman" w:cs="Times New Roman"/>
        </w:rPr>
        <w:t xml:space="preserve">. </w:t>
      </w:r>
      <w:r w:rsidR="000633C1">
        <w:rPr>
          <w:rFonts w:ascii="Times New Roman" w:hAnsi="Times New Roman" w:cs="Times New Roman"/>
        </w:rPr>
        <w:t xml:space="preserve">It is usual to </w:t>
      </w:r>
      <w:r w:rsidR="00464A36">
        <w:rPr>
          <w:rFonts w:ascii="Times New Roman" w:hAnsi="Times New Roman" w:cs="Times New Roman"/>
        </w:rPr>
        <w:t xml:space="preserve">deploy reasoning </w:t>
      </w:r>
      <w:r w:rsidR="000633C1">
        <w:rPr>
          <w:rFonts w:ascii="Times New Roman" w:hAnsi="Times New Roman" w:cs="Times New Roman"/>
        </w:rPr>
        <w:t>along the following lines. I</w:t>
      </w:r>
      <w:r w:rsidR="00383ABC">
        <w:rPr>
          <w:rFonts w:ascii="Times New Roman" w:hAnsi="Times New Roman" w:cs="Times New Roman"/>
        </w:rPr>
        <w:t xml:space="preserve">f the separate personality of the company is </w:t>
      </w:r>
      <w:r>
        <w:rPr>
          <w:rFonts w:ascii="Times New Roman" w:hAnsi="Times New Roman" w:cs="Times New Roman"/>
        </w:rPr>
        <w:t>removed for some reason</w:t>
      </w:r>
      <w:r w:rsidR="00383ABC">
        <w:rPr>
          <w:rFonts w:ascii="Times New Roman" w:hAnsi="Times New Roman" w:cs="Times New Roman"/>
        </w:rPr>
        <w:t>, then the operation of the limited liability doctrine is subverted.</w:t>
      </w:r>
      <w:r w:rsidR="0033091E">
        <w:rPr>
          <w:rFonts w:ascii="Times New Roman" w:hAnsi="Times New Roman" w:cs="Times New Roman"/>
        </w:rPr>
        <w:t xml:space="preserve"> </w:t>
      </w:r>
      <w:r w:rsidR="00383ABC">
        <w:rPr>
          <w:rFonts w:ascii="Times New Roman" w:hAnsi="Times New Roman" w:cs="Times New Roman"/>
        </w:rPr>
        <w:t xml:space="preserve">The creditors’ claims </w:t>
      </w:r>
      <w:r w:rsidR="00FB1DAA">
        <w:rPr>
          <w:rFonts w:ascii="Times New Roman" w:hAnsi="Times New Roman" w:cs="Times New Roman"/>
        </w:rPr>
        <w:t>are no longer</w:t>
      </w:r>
      <w:r w:rsidR="00383ABC">
        <w:rPr>
          <w:rFonts w:ascii="Times New Roman" w:hAnsi="Times New Roman" w:cs="Times New Roman"/>
        </w:rPr>
        <w:t xml:space="preserve"> limited to the assets of </w:t>
      </w:r>
      <w:r w:rsidR="00FB1DAA">
        <w:rPr>
          <w:rFonts w:ascii="Times New Roman" w:hAnsi="Times New Roman" w:cs="Times New Roman"/>
        </w:rPr>
        <w:t xml:space="preserve">the company against which the claim arises but can be pursued more broadly, though the veil piercing process is not precise on how much further liability extends: shareholders certainly, but directors, creditors and officers may </w:t>
      </w:r>
      <w:r w:rsidR="00464A36">
        <w:rPr>
          <w:rFonts w:ascii="Times New Roman" w:hAnsi="Times New Roman" w:cs="Times New Roman"/>
        </w:rPr>
        <w:t xml:space="preserve">also </w:t>
      </w:r>
      <w:r w:rsidR="00FB1DAA">
        <w:rPr>
          <w:rFonts w:ascii="Times New Roman" w:hAnsi="Times New Roman" w:cs="Times New Roman"/>
        </w:rPr>
        <w:t>be exposed.</w:t>
      </w:r>
      <w:r w:rsidR="00FB1DAA">
        <w:rPr>
          <w:rStyle w:val="ab"/>
          <w:rFonts w:ascii="Times New Roman" w:hAnsi="Times New Roman" w:cs="Times New Roman"/>
        </w:rPr>
        <w:footnoteReference w:id="4"/>
      </w:r>
      <w:r w:rsidR="00383ABC">
        <w:rPr>
          <w:rFonts w:ascii="Times New Roman" w:hAnsi="Times New Roman" w:cs="Times New Roman"/>
        </w:rPr>
        <w:t xml:space="preserve"> </w:t>
      </w:r>
      <w:r w:rsidR="00D65411">
        <w:rPr>
          <w:rFonts w:ascii="Times New Roman" w:hAnsi="Times New Roman" w:cs="Times New Roman"/>
        </w:rPr>
        <w:t>In the above analysis, separate legal personality</w:t>
      </w:r>
      <w:r>
        <w:rPr>
          <w:rFonts w:ascii="Times New Roman" w:hAnsi="Times New Roman" w:cs="Times New Roman"/>
        </w:rPr>
        <w:t>,</w:t>
      </w:r>
      <w:r w:rsidR="00D65411">
        <w:rPr>
          <w:rFonts w:ascii="Times New Roman" w:hAnsi="Times New Roman" w:cs="Times New Roman"/>
        </w:rPr>
        <w:t xml:space="preserve"> or rather the identification of situations in which the doctrine </w:t>
      </w:r>
      <w:r w:rsidR="000633C1">
        <w:rPr>
          <w:rFonts w:ascii="Times New Roman" w:hAnsi="Times New Roman" w:cs="Times New Roman"/>
        </w:rPr>
        <w:t>is disapplied</w:t>
      </w:r>
      <w:r w:rsidR="00E037B7">
        <w:rPr>
          <w:rFonts w:ascii="Times New Roman" w:hAnsi="Times New Roman" w:cs="Times New Roman"/>
        </w:rPr>
        <w:t xml:space="preserve"> through veil piercing</w:t>
      </w:r>
      <w:r w:rsidR="00D65411">
        <w:rPr>
          <w:rFonts w:ascii="Times New Roman" w:hAnsi="Times New Roman" w:cs="Times New Roman"/>
        </w:rPr>
        <w:t>, appears as one of the exceptions to limited liability</w:t>
      </w:r>
      <w:r w:rsidR="00464A36">
        <w:rPr>
          <w:rFonts w:ascii="Times New Roman" w:hAnsi="Times New Roman" w:cs="Times New Roman"/>
        </w:rPr>
        <w:t>.</w:t>
      </w:r>
      <w:r w:rsidR="00D80112">
        <w:rPr>
          <w:rFonts w:ascii="Times New Roman" w:hAnsi="Times New Roman" w:cs="Times New Roman"/>
        </w:rPr>
        <w:t xml:space="preserve"> </w:t>
      </w:r>
      <w:r w:rsidR="00C139B0">
        <w:rPr>
          <w:rFonts w:ascii="Times New Roman" w:hAnsi="Times New Roman" w:cs="Times New Roman"/>
        </w:rPr>
        <w:t>Thus, limited liability and separate legal personality have a symbiotic relationship, but with the removal of separate legal personality operating as a constraint on l</w:t>
      </w:r>
      <w:r w:rsidR="00625B6A">
        <w:rPr>
          <w:rFonts w:ascii="Times New Roman" w:hAnsi="Times New Roman" w:cs="Times New Roman"/>
        </w:rPr>
        <w:t>imited liability</w:t>
      </w:r>
      <w:r w:rsidR="00C139B0">
        <w:rPr>
          <w:rFonts w:ascii="Times New Roman" w:hAnsi="Times New Roman" w:cs="Times New Roman"/>
        </w:rPr>
        <w:t>.</w:t>
      </w:r>
      <w:r w:rsidR="00625B6A">
        <w:rPr>
          <w:rFonts w:ascii="Times New Roman" w:hAnsi="Times New Roman" w:cs="Times New Roman"/>
        </w:rPr>
        <w:t xml:space="preserve"> In this </w:t>
      </w:r>
      <w:r w:rsidR="00871AB7">
        <w:rPr>
          <w:rFonts w:ascii="Times New Roman" w:hAnsi="Times New Roman" w:cs="Times New Roman"/>
        </w:rPr>
        <w:t>light</w:t>
      </w:r>
      <w:r w:rsidR="00625B6A">
        <w:rPr>
          <w:rFonts w:ascii="Times New Roman" w:hAnsi="Times New Roman" w:cs="Times New Roman"/>
        </w:rPr>
        <w:t xml:space="preserve">, the importance of </w:t>
      </w:r>
      <w:r w:rsidR="00625B6A">
        <w:rPr>
          <w:rFonts w:ascii="Times New Roman" w:hAnsi="Times New Roman" w:cs="Times New Roman"/>
          <w:i/>
          <w:iCs/>
        </w:rPr>
        <w:t xml:space="preserve">Cape </w:t>
      </w:r>
      <w:r w:rsidR="00625B6A">
        <w:rPr>
          <w:rFonts w:ascii="Times New Roman" w:hAnsi="Times New Roman" w:cs="Times New Roman"/>
        </w:rPr>
        <w:t xml:space="preserve">is that it confirms the position that English law is very reluctant to remove separate legal personality </w:t>
      </w:r>
      <w:proofErr w:type="gramStart"/>
      <w:r w:rsidR="00625B6A">
        <w:rPr>
          <w:rFonts w:ascii="Times New Roman" w:hAnsi="Times New Roman" w:cs="Times New Roman"/>
        </w:rPr>
        <w:t>so as to</w:t>
      </w:r>
      <w:proofErr w:type="gramEnd"/>
      <w:r w:rsidR="00625B6A">
        <w:rPr>
          <w:rFonts w:ascii="Times New Roman" w:hAnsi="Times New Roman" w:cs="Times New Roman"/>
        </w:rPr>
        <w:t xml:space="preserve"> </w:t>
      </w:r>
      <w:r w:rsidR="00097EC1">
        <w:rPr>
          <w:rFonts w:ascii="Times New Roman" w:hAnsi="Times New Roman" w:cs="Times New Roman"/>
        </w:rPr>
        <w:t xml:space="preserve">deprive </w:t>
      </w:r>
      <w:r w:rsidR="00625B6A">
        <w:rPr>
          <w:rFonts w:ascii="Times New Roman" w:hAnsi="Times New Roman" w:cs="Times New Roman"/>
        </w:rPr>
        <w:t>the company</w:t>
      </w:r>
      <w:r w:rsidR="00097EC1">
        <w:rPr>
          <w:rFonts w:ascii="Times New Roman" w:hAnsi="Times New Roman" w:cs="Times New Roman"/>
        </w:rPr>
        <w:t xml:space="preserve"> of limited liability</w:t>
      </w:r>
      <w:r w:rsidR="00625B6A">
        <w:rPr>
          <w:rFonts w:ascii="Times New Roman" w:hAnsi="Times New Roman" w:cs="Times New Roman"/>
        </w:rPr>
        <w:t>.</w:t>
      </w:r>
    </w:p>
    <w:p w14:paraId="2E5E9C38" w14:textId="72D52884" w:rsidR="00F16BC4" w:rsidRDefault="004E15E8" w:rsidP="00B71028">
      <w:pPr>
        <w:spacing w:line="276" w:lineRule="auto"/>
        <w:jc w:val="both"/>
        <w:rPr>
          <w:rFonts w:ascii="Times New Roman" w:hAnsi="Times New Roman" w:cs="Times New Roman"/>
        </w:rPr>
      </w:pPr>
      <w:r>
        <w:rPr>
          <w:rFonts w:ascii="Times New Roman" w:hAnsi="Times New Roman" w:cs="Times New Roman"/>
        </w:rPr>
        <w:t xml:space="preserve">This analysis is fine as far as it goes. </w:t>
      </w:r>
      <w:r w:rsidR="00771C9B">
        <w:rPr>
          <w:rFonts w:ascii="Times New Roman" w:hAnsi="Times New Roman" w:cs="Times New Roman"/>
        </w:rPr>
        <w:t>However, an alternative analysis appears to be available</w:t>
      </w:r>
      <w:r>
        <w:rPr>
          <w:rFonts w:ascii="Times New Roman" w:hAnsi="Times New Roman" w:cs="Times New Roman"/>
        </w:rPr>
        <w:t xml:space="preserve"> which gives a broader significance to separate legal personality</w:t>
      </w:r>
      <w:r w:rsidR="00771C9B">
        <w:rPr>
          <w:rFonts w:ascii="Times New Roman" w:hAnsi="Times New Roman" w:cs="Times New Roman"/>
        </w:rPr>
        <w:t xml:space="preserve">. </w:t>
      </w:r>
      <w:r w:rsidR="00D23C0C">
        <w:rPr>
          <w:rFonts w:ascii="Times New Roman" w:hAnsi="Times New Roman" w:cs="Times New Roman"/>
        </w:rPr>
        <w:t>In this</w:t>
      </w:r>
      <w:r w:rsidR="00771C9B">
        <w:rPr>
          <w:rFonts w:ascii="Times New Roman" w:hAnsi="Times New Roman" w:cs="Times New Roman"/>
        </w:rPr>
        <w:t xml:space="preserve"> </w:t>
      </w:r>
      <w:r>
        <w:rPr>
          <w:rFonts w:ascii="Times New Roman" w:hAnsi="Times New Roman" w:cs="Times New Roman"/>
        </w:rPr>
        <w:t xml:space="preserve">alternative analysis </w:t>
      </w:r>
      <w:r w:rsidR="00771C9B">
        <w:rPr>
          <w:rFonts w:ascii="Times New Roman" w:hAnsi="Times New Roman" w:cs="Times New Roman"/>
        </w:rPr>
        <w:t xml:space="preserve">limited liability is provided to </w:t>
      </w:r>
      <w:r>
        <w:rPr>
          <w:rFonts w:ascii="Times New Roman" w:hAnsi="Times New Roman" w:cs="Times New Roman"/>
        </w:rPr>
        <w:t>shareholders</w:t>
      </w:r>
      <w:r w:rsidR="00771C9B">
        <w:rPr>
          <w:rFonts w:ascii="Times New Roman" w:hAnsi="Times New Roman" w:cs="Times New Roman"/>
        </w:rPr>
        <w:t xml:space="preserve"> through the doctrine of separate legal personality</w:t>
      </w:r>
      <w:r w:rsidR="00464A36">
        <w:rPr>
          <w:rFonts w:ascii="Times New Roman" w:hAnsi="Times New Roman" w:cs="Times New Roman"/>
        </w:rPr>
        <w:t>. Legal personality is not important just because its absence undermines limited liability; it is the operative mechanism</w:t>
      </w:r>
      <w:r w:rsidR="00771C9B">
        <w:rPr>
          <w:rFonts w:ascii="Times New Roman" w:hAnsi="Times New Roman" w:cs="Times New Roman"/>
        </w:rPr>
        <w:t xml:space="preserve"> </w:t>
      </w:r>
      <w:r w:rsidR="00464A36">
        <w:rPr>
          <w:rFonts w:ascii="Times New Roman" w:hAnsi="Times New Roman" w:cs="Times New Roman"/>
        </w:rPr>
        <w:t xml:space="preserve">through which limited liability is provided. </w:t>
      </w:r>
      <w:r w:rsidR="00771C9B">
        <w:rPr>
          <w:rFonts w:ascii="Times New Roman" w:hAnsi="Times New Roman" w:cs="Times New Roman"/>
        </w:rPr>
        <w:t xml:space="preserve">If the company is separate from its members and others, it would seem to follow that in principle those </w:t>
      </w:r>
      <w:r w:rsidR="00871AB7">
        <w:rPr>
          <w:rFonts w:ascii="Times New Roman" w:hAnsi="Times New Roman" w:cs="Times New Roman"/>
        </w:rPr>
        <w:t xml:space="preserve">members and </w:t>
      </w:r>
      <w:r w:rsidR="00771C9B">
        <w:rPr>
          <w:rFonts w:ascii="Times New Roman" w:hAnsi="Times New Roman" w:cs="Times New Roman"/>
        </w:rPr>
        <w:t xml:space="preserve">others are not responsible for the company’s obligations, any more than natural person A is responsible for the obligations of natural person B. Of course, the </w:t>
      </w:r>
      <w:r w:rsidR="00F16BC4">
        <w:rPr>
          <w:rFonts w:ascii="Times New Roman" w:hAnsi="Times New Roman" w:cs="Times New Roman"/>
        </w:rPr>
        <w:t xml:space="preserve">general </w:t>
      </w:r>
      <w:r w:rsidR="00771C9B">
        <w:rPr>
          <w:rFonts w:ascii="Times New Roman" w:hAnsi="Times New Roman" w:cs="Times New Roman"/>
        </w:rPr>
        <w:t xml:space="preserve">law makes some exceptions to this principle, for example, via the doctrines of vicarious liability or agency, but </w:t>
      </w:r>
      <w:r w:rsidR="00F16BC4">
        <w:rPr>
          <w:rFonts w:ascii="Times New Roman" w:hAnsi="Times New Roman" w:cs="Times New Roman"/>
        </w:rPr>
        <w:t>that is clearly its starting point</w:t>
      </w:r>
      <w:r w:rsidR="00771C9B">
        <w:rPr>
          <w:rFonts w:ascii="Times New Roman" w:hAnsi="Times New Roman" w:cs="Times New Roman"/>
        </w:rPr>
        <w:t xml:space="preserve">. </w:t>
      </w:r>
      <w:r w:rsidR="00F16BC4">
        <w:rPr>
          <w:rFonts w:ascii="Times New Roman" w:hAnsi="Times New Roman" w:cs="Times New Roman"/>
        </w:rPr>
        <w:t xml:space="preserve">Indeed, </w:t>
      </w:r>
      <w:r w:rsidR="00F16BC4">
        <w:rPr>
          <w:rFonts w:ascii="Times New Roman" w:hAnsi="Times New Roman" w:cs="Times New Roman"/>
          <w:i/>
          <w:iCs/>
        </w:rPr>
        <w:t xml:space="preserve">Adams </w:t>
      </w:r>
      <w:r w:rsidR="00F16BC4">
        <w:rPr>
          <w:rFonts w:ascii="Times New Roman" w:hAnsi="Times New Roman" w:cs="Times New Roman"/>
        </w:rPr>
        <w:t xml:space="preserve">can be seen as a case where the Court of Appeal </w:t>
      </w:r>
      <w:r w:rsidR="00F16BC4">
        <w:rPr>
          <w:rFonts w:ascii="Times New Roman" w:hAnsi="Times New Roman" w:cs="Times New Roman"/>
        </w:rPr>
        <w:lastRenderedPageBreak/>
        <w:t>had to decide whether to apply these exceptions to the doctrine of separate legal personality as well</w:t>
      </w:r>
      <w:r w:rsidR="006B091F">
        <w:rPr>
          <w:rFonts w:ascii="Times New Roman" w:hAnsi="Times New Roman" w:cs="Times New Roman"/>
        </w:rPr>
        <w:t xml:space="preserve"> – and decided not to do so</w:t>
      </w:r>
      <w:r w:rsidR="00F16BC4">
        <w:rPr>
          <w:rFonts w:ascii="Times New Roman" w:hAnsi="Times New Roman" w:cs="Times New Roman"/>
        </w:rPr>
        <w:t xml:space="preserve">. </w:t>
      </w:r>
      <w:r w:rsidR="00D23C0C">
        <w:rPr>
          <w:rFonts w:ascii="Times New Roman" w:hAnsi="Times New Roman" w:cs="Times New Roman"/>
        </w:rPr>
        <w:t>In fact, the principal limitation of the “separate legal person” theory is that it does not operate effectively when the company is in a formal insolvency procedure and the members possibly face a claim, not by the creditors, but on their behalf by the company. If the company is the claimant, rather than the defendant, the doctrine of separate legal personality will not protect the members.</w:t>
      </w:r>
    </w:p>
    <w:p w14:paraId="2F23B62A" w14:textId="5BB811F4" w:rsidR="00D65411" w:rsidRPr="003C506E" w:rsidRDefault="00464A36" w:rsidP="00B71028">
      <w:pPr>
        <w:spacing w:line="276" w:lineRule="auto"/>
        <w:jc w:val="both"/>
        <w:rPr>
          <w:rFonts w:ascii="Times New Roman" w:hAnsi="Times New Roman" w:cs="Times New Roman"/>
        </w:rPr>
      </w:pPr>
      <w:r>
        <w:rPr>
          <w:rFonts w:ascii="Times New Roman" w:hAnsi="Times New Roman" w:cs="Times New Roman"/>
        </w:rPr>
        <w:t>Th</w:t>
      </w:r>
      <w:r w:rsidR="006B091F">
        <w:rPr>
          <w:rFonts w:ascii="Times New Roman" w:hAnsi="Times New Roman" w:cs="Times New Roman"/>
        </w:rPr>
        <w:t>e broader theory</w:t>
      </w:r>
      <w:r>
        <w:rPr>
          <w:rFonts w:ascii="Times New Roman" w:hAnsi="Times New Roman" w:cs="Times New Roman"/>
        </w:rPr>
        <w:t xml:space="preserve"> raises the subversive thought that </w:t>
      </w:r>
      <w:r w:rsidR="00F12169">
        <w:rPr>
          <w:rFonts w:ascii="Times New Roman" w:hAnsi="Times New Roman" w:cs="Times New Roman"/>
        </w:rPr>
        <w:t xml:space="preserve">corporate law </w:t>
      </w:r>
      <w:r>
        <w:rPr>
          <w:rFonts w:ascii="Times New Roman" w:hAnsi="Times New Roman" w:cs="Times New Roman"/>
        </w:rPr>
        <w:t xml:space="preserve">might </w:t>
      </w:r>
      <w:r w:rsidR="00F12169">
        <w:rPr>
          <w:rFonts w:ascii="Times New Roman" w:hAnsi="Times New Roman" w:cs="Times New Roman"/>
        </w:rPr>
        <w:t xml:space="preserve">do away with limited liability and rely </w:t>
      </w:r>
      <w:r w:rsidR="0023530E">
        <w:rPr>
          <w:rFonts w:ascii="Times New Roman" w:hAnsi="Times New Roman" w:cs="Times New Roman"/>
        </w:rPr>
        <w:t xml:space="preserve">solely </w:t>
      </w:r>
      <w:r w:rsidR="00F12169">
        <w:rPr>
          <w:rFonts w:ascii="Times New Roman" w:hAnsi="Times New Roman" w:cs="Times New Roman"/>
        </w:rPr>
        <w:t>on separate legal personality</w:t>
      </w:r>
      <w:r w:rsidR="0023530E">
        <w:rPr>
          <w:rFonts w:ascii="Times New Roman" w:hAnsi="Times New Roman" w:cs="Times New Roman"/>
        </w:rPr>
        <w:t xml:space="preserve"> to provide the appropriate level of limited liability</w:t>
      </w:r>
      <w:r w:rsidR="00D67D31">
        <w:rPr>
          <w:rFonts w:ascii="Times New Roman" w:hAnsi="Times New Roman" w:cs="Times New Roman"/>
        </w:rPr>
        <w:t>, especially give</w:t>
      </w:r>
      <w:r w:rsidR="00E037B7">
        <w:rPr>
          <w:rFonts w:ascii="Times New Roman" w:hAnsi="Times New Roman" w:cs="Times New Roman"/>
        </w:rPr>
        <w:t>n</w:t>
      </w:r>
      <w:r w:rsidR="00D67D31">
        <w:rPr>
          <w:rFonts w:ascii="Times New Roman" w:hAnsi="Times New Roman" w:cs="Times New Roman"/>
        </w:rPr>
        <w:t xml:space="preserve"> the commitment in </w:t>
      </w:r>
      <w:r w:rsidR="00D67D31">
        <w:rPr>
          <w:rFonts w:ascii="Times New Roman" w:hAnsi="Times New Roman" w:cs="Times New Roman"/>
          <w:i/>
          <w:iCs/>
        </w:rPr>
        <w:t xml:space="preserve">Cape </w:t>
      </w:r>
      <w:r w:rsidR="00D67D31">
        <w:rPr>
          <w:rFonts w:ascii="Times New Roman" w:hAnsi="Times New Roman" w:cs="Times New Roman"/>
        </w:rPr>
        <w:t>to maintain the separateness of the company’s personality except in very limited situations</w:t>
      </w:r>
      <w:r w:rsidR="00F12169">
        <w:rPr>
          <w:rFonts w:ascii="Times New Roman" w:hAnsi="Times New Roman" w:cs="Times New Roman"/>
        </w:rPr>
        <w:t>?</w:t>
      </w:r>
      <w:r w:rsidR="00F12169">
        <w:rPr>
          <w:rStyle w:val="ab"/>
          <w:rFonts w:ascii="Times New Roman" w:hAnsi="Times New Roman" w:cs="Times New Roman"/>
        </w:rPr>
        <w:footnoteReference w:id="5"/>
      </w:r>
      <w:r w:rsidR="00F12169">
        <w:rPr>
          <w:rFonts w:ascii="Times New Roman" w:hAnsi="Times New Roman" w:cs="Times New Roman"/>
        </w:rPr>
        <w:t xml:space="preserve"> </w:t>
      </w:r>
      <w:r w:rsidR="00ED31A1">
        <w:rPr>
          <w:rFonts w:ascii="Times New Roman" w:hAnsi="Times New Roman" w:cs="Times New Roman"/>
        </w:rPr>
        <w:t xml:space="preserve">This is not put forward as a serious law reform proposal. </w:t>
      </w:r>
      <w:r w:rsidR="00BD3DEA">
        <w:rPr>
          <w:rFonts w:ascii="Times New Roman" w:hAnsi="Times New Roman" w:cs="Times New Roman"/>
        </w:rPr>
        <w:t>The proposal</w:t>
      </w:r>
      <w:r w:rsidR="00ED31A1">
        <w:rPr>
          <w:rFonts w:ascii="Times New Roman" w:hAnsi="Times New Roman" w:cs="Times New Roman"/>
        </w:rPr>
        <w:t xml:space="preserve"> runs the risk of being regarded as a more serious change than it </w:t>
      </w:r>
      <w:proofErr w:type="gramStart"/>
      <w:r w:rsidR="00ED31A1">
        <w:rPr>
          <w:rFonts w:ascii="Times New Roman" w:hAnsi="Times New Roman" w:cs="Times New Roman"/>
        </w:rPr>
        <w:t>actually would</w:t>
      </w:r>
      <w:proofErr w:type="gramEnd"/>
      <w:r w:rsidR="00ED31A1">
        <w:rPr>
          <w:rFonts w:ascii="Times New Roman" w:hAnsi="Times New Roman" w:cs="Times New Roman"/>
        </w:rPr>
        <w:t xml:space="preserve"> be</w:t>
      </w:r>
      <w:r w:rsidR="00BD3DEA">
        <w:rPr>
          <w:rFonts w:ascii="Times New Roman" w:hAnsi="Times New Roman" w:cs="Times New Roman"/>
        </w:rPr>
        <w:t xml:space="preserve"> under the </w:t>
      </w:r>
      <w:r w:rsidR="006B091F">
        <w:rPr>
          <w:rFonts w:ascii="Times New Roman" w:hAnsi="Times New Roman" w:cs="Times New Roman"/>
        </w:rPr>
        <w:t xml:space="preserve">broader </w:t>
      </w:r>
      <w:r w:rsidR="00BD3DEA">
        <w:rPr>
          <w:rFonts w:ascii="Times New Roman" w:hAnsi="Times New Roman" w:cs="Times New Roman"/>
        </w:rPr>
        <w:t>theory</w:t>
      </w:r>
      <w:r w:rsidR="00ED31A1">
        <w:rPr>
          <w:rFonts w:ascii="Times New Roman" w:hAnsi="Times New Roman" w:cs="Times New Roman"/>
        </w:rPr>
        <w:t>. Most modern company laws provide for both separate legal personality and limited liability, though generally in different sections of the relevant statute</w:t>
      </w:r>
      <w:r w:rsidR="00A70602">
        <w:rPr>
          <w:rFonts w:ascii="Times New Roman" w:hAnsi="Times New Roman" w:cs="Times New Roman"/>
        </w:rPr>
        <w:t>,</w:t>
      </w:r>
      <w:r w:rsidR="00BB2DFF">
        <w:rPr>
          <w:rStyle w:val="ab"/>
          <w:rFonts w:ascii="Times New Roman" w:hAnsi="Times New Roman" w:cs="Times New Roman"/>
        </w:rPr>
        <w:footnoteReference w:id="6"/>
      </w:r>
      <w:r w:rsidR="00A70602">
        <w:rPr>
          <w:rFonts w:ascii="Times New Roman" w:hAnsi="Times New Roman" w:cs="Times New Roman"/>
        </w:rPr>
        <w:t xml:space="preserve"> and it might be wise for UK law not to </w:t>
      </w:r>
      <w:r w:rsidR="00D67D31">
        <w:rPr>
          <w:rFonts w:ascii="Times New Roman" w:hAnsi="Times New Roman" w:cs="Times New Roman"/>
        </w:rPr>
        <w:t>adopt in the name of simplification a reform which might be misunderstood elsewhere</w:t>
      </w:r>
      <w:r w:rsidR="00A70602">
        <w:rPr>
          <w:rFonts w:ascii="Times New Roman" w:hAnsi="Times New Roman" w:cs="Times New Roman"/>
        </w:rPr>
        <w:t>.</w:t>
      </w:r>
      <w:r w:rsidR="00BB2DFF">
        <w:rPr>
          <w:rFonts w:ascii="Times New Roman" w:hAnsi="Times New Roman" w:cs="Times New Roman"/>
        </w:rPr>
        <w:t xml:space="preserve"> It is also worth noting that the converse proposition (abolish separate legal personality and keep limited liability) is not a runner because separate personality has significance outside the are</w:t>
      </w:r>
      <w:r w:rsidR="00A70602">
        <w:rPr>
          <w:rFonts w:ascii="Times New Roman" w:hAnsi="Times New Roman" w:cs="Times New Roman"/>
        </w:rPr>
        <w:t>a</w:t>
      </w:r>
      <w:r w:rsidR="00BB2DFF">
        <w:rPr>
          <w:rFonts w:ascii="Times New Roman" w:hAnsi="Times New Roman" w:cs="Times New Roman"/>
        </w:rPr>
        <w:t xml:space="preserve"> of limited liability.</w:t>
      </w:r>
      <w:r w:rsidR="00A70602">
        <w:rPr>
          <w:rStyle w:val="ab"/>
          <w:rFonts w:ascii="Times New Roman" w:hAnsi="Times New Roman" w:cs="Times New Roman"/>
        </w:rPr>
        <w:footnoteReference w:id="7"/>
      </w:r>
      <w:r w:rsidR="00BB2DFF">
        <w:rPr>
          <w:rFonts w:ascii="Times New Roman" w:hAnsi="Times New Roman" w:cs="Times New Roman"/>
        </w:rPr>
        <w:t xml:space="preserve"> </w:t>
      </w:r>
      <w:r w:rsidR="003C506E">
        <w:rPr>
          <w:rFonts w:ascii="Times New Roman" w:hAnsi="Times New Roman" w:cs="Times New Roman"/>
        </w:rPr>
        <w:t>Professor Gower used to give an extreme and dramatic example. During the second-world war a bomb dropped in London killed in one go all the directors and shareholders of a small English company. The company</w:t>
      </w:r>
      <w:r w:rsidR="00D67D31">
        <w:rPr>
          <w:rFonts w:ascii="Times New Roman" w:hAnsi="Times New Roman" w:cs="Times New Roman"/>
        </w:rPr>
        <w:t xml:space="preserve"> as a legal entity</w:t>
      </w:r>
      <w:r w:rsidR="003C506E">
        <w:rPr>
          <w:rFonts w:ascii="Times New Roman" w:hAnsi="Times New Roman" w:cs="Times New Roman"/>
        </w:rPr>
        <w:t>, however, being impervious to the impact of TNT, continued in existence.</w:t>
      </w:r>
      <w:r w:rsidR="003C506E">
        <w:rPr>
          <w:rStyle w:val="ab"/>
          <w:rFonts w:ascii="Times New Roman" w:hAnsi="Times New Roman" w:cs="Times New Roman"/>
        </w:rPr>
        <w:footnoteReference w:id="8"/>
      </w:r>
      <w:r w:rsidR="003C506E">
        <w:rPr>
          <w:rFonts w:ascii="Times New Roman" w:hAnsi="Times New Roman" w:cs="Times New Roman"/>
        </w:rPr>
        <w:t xml:space="preserve"> </w:t>
      </w:r>
      <w:r w:rsidR="00BB2DFF">
        <w:rPr>
          <w:rFonts w:ascii="Times New Roman" w:hAnsi="Times New Roman" w:cs="Times New Roman"/>
        </w:rPr>
        <w:t xml:space="preserve">Sometimes, separate personality </w:t>
      </w:r>
      <w:r w:rsidR="00385247">
        <w:rPr>
          <w:rFonts w:ascii="Times New Roman" w:hAnsi="Times New Roman" w:cs="Times New Roman"/>
        </w:rPr>
        <w:t xml:space="preserve">even </w:t>
      </w:r>
      <w:r w:rsidR="00BB2DFF">
        <w:rPr>
          <w:rFonts w:ascii="Times New Roman" w:hAnsi="Times New Roman" w:cs="Times New Roman"/>
        </w:rPr>
        <w:t>stands in the way of the company acquiring a benefit</w:t>
      </w:r>
      <w:r w:rsidR="00385247">
        <w:rPr>
          <w:rFonts w:ascii="Times New Roman" w:hAnsi="Times New Roman" w:cs="Times New Roman"/>
        </w:rPr>
        <w:t>.</w:t>
      </w:r>
      <w:r w:rsidR="00385247">
        <w:rPr>
          <w:rStyle w:val="ab"/>
          <w:rFonts w:ascii="Times New Roman" w:hAnsi="Times New Roman" w:cs="Times New Roman"/>
        </w:rPr>
        <w:footnoteReference w:id="9"/>
      </w:r>
      <w:r w:rsidR="00385247">
        <w:rPr>
          <w:rFonts w:ascii="Times New Roman" w:hAnsi="Times New Roman" w:cs="Times New Roman"/>
        </w:rPr>
        <w:t xml:space="preserve"> </w:t>
      </w:r>
      <w:r w:rsidR="00A70602">
        <w:rPr>
          <w:rFonts w:ascii="Times New Roman" w:hAnsi="Times New Roman" w:cs="Times New Roman"/>
        </w:rPr>
        <w:t xml:space="preserve">Nevertheless, examination of the proposal to rely solely on separate personality to provide limited liability </w:t>
      </w:r>
      <w:r w:rsidR="00D67D31">
        <w:rPr>
          <w:rFonts w:ascii="Times New Roman" w:hAnsi="Times New Roman" w:cs="Times New Roman"/>
        </w:rPr>
        <w:t xml:space="preserve">stimulates </w:t>
      </w:r>
      <w:r w:rsidR="00A70602">
        <w:rPr>
          <w:rFonts w:ascii="Times New Roman" w:hAnsi="Times New Roman" w:cs="Times New Roman"/>
        </w:rPr>
        <w:t>a deeper examination of the relationship between the two doctrines and</w:t>
      </w:r>
      <w:r w:rsidR="00D67D31">
        <w:rPr>
          <w:rFonts w:ascii="Times New Roman" w:hAnsi="Times New Roman" w:cs="Times New Roman"/>
        </w:rPr>
        <w:t xml:space="preserve"> of</w:t>
      </w:r>
      <w:r w:rsidR="00A70602">
        <w:rPr>
          <w:rFonts w:ascii="Times New Roman" w:hAnsi="Times New Roman" w:cs="Times New Roman"/>
        </w:rPr>
        <w:t xml:space="preserve"> the significance of </w:t>
      </w:r>
      <w:r w:rsidR="00A70602">
        <w:rPr>
          <w:rFonts w:ascii="Times New Roman" w:hAnsi="Times New Roman" w:cs="Times New Roman"/>
          <w:i/>
          <w:iCs/>
        </w:rPr>
        <w:t>Cape</w:t>
      </w:r>
      <w:r w:rsidR="00A70602">
        <w:rPr>
          <w:rFonts w:ascii="Times New Roman" w:hAnsi="Times New Roman" w:cs="Times New Roman"/>
        </w:rPr>
        <w:t xml:space="preserve">. This exercise will be attempted in the first section of this paper, where it will be concluded that limited liability has a role only </w:t>
      </w:r>
      <w:r w:rsidR="00BD3DEA">
        <w:rPr>
          <w:rFonts w:ascii="Times New Roman" w:hAnsi="Times New Roman" w:cs="Times New Roman"/>
        </w:rPr>
        <w:t>in insolvency</w:t>
      </w:r>
      <w:r w:rsidR="00A70602">
        <w:rPr>
          <w:rFonts w:ascii="Times New Roman" w:hAnsi="Times New Roman" w:cs="Times New Roman"/>
        </w:rPr>
        <w:t xml:space="preserve"> and that otherwise separate person</w:t>
      </w:r>
      <w:r w:rsidR="003C506E">
        <w:rPr>
          <w:rFonts w:ascii="Times New Roman" w:hAnsi="Times New Roman" w:cs="Times New Roman"/>
        </w:rPr>
        <w:t>ality</w:t>
      </w:r>
      <w:r w:rsidR="00A70602">
        <w:rPr>
          <w:rFonts w:ascii="Times New Roman" w:hAnsi="Times New Roman" w:cs="Times New Roman"/>
        </w:rPr>
        <w:t xml:space="preserve"> does the job.</w:t>
      </w:r>
    </w:p>
    <w:p w14:paraId="2615D9D1" w14:textId="142A4EDD" w:rsidR="003045E9" w:rsidRPr="00D65411" w:rsidRDefault="00850C20" w:rsidP="00B71028">
      <w:pPr>
        <w:pStyle w:val="a6"/>
        <w:numPr>
          <w:ilvl w:val="0"/>
          <w:numId w:val="1"/>
        </w:numPr>
        <w:spacing w:line="276" w:lineRule="auto"/>
        <w:jc w:val="both"/>
        <w:rPr>
          <w:rFonts w:ascii="Times New Roman" w:hAnsi="Times New Roman" w:cs="Times New Roman"/>
          <w:b/>
          <w:bCs/>
        </w:rPr>
      </w:pPr>
      <w:r w:rsidRPr="00D65411">
        <w:rPr>
          <w:rFonts w:ascii="Times New Roman" w:hAnsi="Times New Roman" w:cs="Times New Roman"/>
          <w:b/>
          <w:bCs/>
        </w:rPr>
        <w:t xml:space="preserve">The Doctrinal </w:t>
      </w:r>
      <w:r w:rsidR="0042135A" w:rsidRPr="00D65411">
        <w:rPr>
          <w:rFonts w:ascii="Times New Roman" w:hAnsi="Times New Roman" w:cs="Times New Roman"/>
          <w:b/>
          <w:bCs/>
        </w:rPr>
        <w:t xml:space="preserve">and Social </w:t>
      </w:r>
      <w:r w:rsidRPr="00D65411">
        <w:rPr>
          <w:rFonts w:ascii="Times New Roman" w:hAnsi="Times New Roman" w:cs="Times New Roman"/>
          <w:b/>
          <w:bCs/>
        </w:rPr>
        <w:t>Function</w:t>
      </w:r>
      <w:r w:rsidR="0042135A" w:rsidRPr="00D65411">
        <w:rPr>
          <w:rFonts w:ascii="Times New Roman" w:hAnsi="Times New Roman" w:cs="Times New Roman"/>
          <w:b/>
          <w:bCs/>
        </w:rPr>
        <w:t>s</w:t>
      </w:r>
      <w:r w:rsidRPr="00D65411">
        <w:rPr>
          <w:rFonts w:ascii="Times New Roman" w:hAnsi="Times New Roman" w:cs="Times New Roman"/>
          <w:b/>
          <w:bCs/>
        </w:rPr>
        <w:t xml:space="preserve"> of Separate Corporate Personality</w:t>
      </w:r>
    </w:p>
    <w:p w14:paraId="7CCD2FDA" w14:textId="77777777" w:rsidR="0042135A" w:rsidRPr="00850C20" w:rsidRDefault="0042135A" w:rsidP="00B71028">
      <w:pPr>
        <w:pStyle w:val="a6"/>
        <w:spacing w:line="276" w:lineRule="auto"/>
        <w:jc w:val="both"/>
        <w:rPr>
          <w:rFonts w:ascii="Times New Roman" w:hAnsi="Times New Roman" w:cs="Times New Roman"/>
          <w:b/>
          <w:bCs/>
        </w:rPr>
      </w:pPr>
    </w:p>
    <w:p w14:paraId="24F13653" w14:textId="41D66FB4" w:rsidR="0042135A" w:rsidRPr="0042135A" w:rsidRDefault="00B610F3" w:rsidP="00B71028">
      <w:pPr>
        <w:pStyle w:val="a6"/>
        <w:numPr>
          <w:ilvl w:val="0"/>
          <w:numId w:val="2"/>
        </w:numPr>
        <w:spacing w:line="276" w:lineRule="auto"/>
        <w:jc w:val="both"/>
        <w:rPr>
          <w:rFonts w:ascii="Times New Roman" w:hAnsi="Times New Roman" w:cs="Times New Roman"/>
          <w:b/>
          <w:bCs/>
          <w:i/>
          <w:iCs/>
        </w:rPr>
      </w:pPr>
      <w:r>
        <w:rPr>
          <w:rFonts w:ascii="Times New Roman" w:hAnsi="Times New Roman" w:cs="Times New Roman"/>
          <w:i/>
          <w:iCs/>
        </w:rPr>
        <w:t xml:space="preserve">Separate Legal Personality and </w:t>
      </w:r>
      <w:r w:rsidR="0042135A" w:rsidRPr="0042135A">
        <w:rPr>
          <w:rFonts w:ascii="Times New Roman" w:hAnsi="Times New Roman" w:cs="Times New Roman"/>
          <w:i/>
          <w:iCs/>
        </w:rPr>
        <w:t>Limited Liability</w:t>
      </w:r>
    </w:p>
    <w:p w14:paraId="6EE1F7E2" w14:textId="0387DBD6" w:rsidR="00237D21" w:rsidRDefault="00850C20" w:rsidP="00B71028">
      <w:pPr>
        <w:spacing w:line="276" w:lineRule="auto"/>
        <w:jc w:val="both"/>
        <w:rPr>
          <w:rFonts w:ascii="Times New Roman" w:hAnsi="Times New Roman" w:cs="Times New Roman"/>
        </w:rPr>
      </w:pPr>
      <w:r>
        <w:rPr>
          <w:rFonts w:ascii="Times New Roman" w:hAnsi="Times New Roman" w:cs="Times New Roman"/>
        </w:rPr>
        <w:t xml:space="preserve">If the company is a separate person from its members, that </w:t>
      </w:r>
      <w:proofErr w:type="gramStart"/>
      <w:r>
        <w:rPr>
          <w:rFonts w:ascii="Times New Roman" w:hAnsi="Times New Roman" w:cs="Times New Roman"/>
        </w:rPr>
        <w:t xml:space="preserve">in itself </w:t>
      </w:r>
      <w:r w:rsidR="004D6D5A">
        <w:rPr>
          <w:rFonts w:ascii="Times New Roman" w:hAnsi="Times New Roman" w:cs="Times New Roman"/>
        </w:rPr>
        <w:t>appears</w:t>
      </w:r>
      <w:proofErr w:type="gramEnd"/>
      <w:r>
        <w:rPr>
          <w:rFonts w:ascii="Times New Roman" w:hAnsi="Times New Roman" w:cs="Times New Roman"/>
        </w:rPr>
        <w:t xml:space="preserve"> to be enough to shield the members from liability for the debts and obligations the company </w:t>
      </w:r>
      <w:r w:rsidR="004D6D5A">
        <w:rPr>
          <w:rFonts w:ascii="Times New Roman" w:hAnsi="Times New Roman" w:cs="Times New Roman"/>
        </w:rPr>
        <w:t>– a separate person</w:t>
      </w:r>
      <w:r w:rsidR="000633C1">
        <w:rPr>
          <w:rFonts w:ascii="Times New Roman" w:hAnsi="Times New Roman" w:cs="Times New Roman"/>
        </w:rPr>
        <w:t xml:space="preserve"> </w:t>
      </w:r>
      <w:r w:rsidR="004D6D5A">
        <w:rPr>
          <w:rFonts w:ascii="Times New Roman" w:hAnsi="Times New Roman" w:cs="Times New Roman"/>
        </w:rPr>
        <w:t xml:space="preserve">- </w:t>
      </w:r>
      <w:r>
        <w:rPr>
          <w:rFonts w:ascii="Times New Roman" w:hAnsi="Times New Roman" w:cs="Times New Roman"/>
        </w:rPr>
        <w:t xml:space="preserve">has assumed. </w:t>
      </w:r>
      <w:r w:rsidR="00CD54AA">
        <w:rPr>
          <w:rFonts w:ascii="Times New Roman" w:hAnsi="Times New Roman" w:cs="Times New Roman"/>
        </w:rPr>
        <w:t xml:space="preserve">This is certainly what Professor Gower thought: </w:t>
      </w:r>
      <w:r w:rsidR="00817AAB">
        <w:rPr>
          <w:rFonts w:ascii="Times New Roman" w:hAnsi="Times New Roman" w:cs="Times New Roman"/>
        </w:rPr>
        <w:t xml:space="preserve">“It follows from the fact that a corporation is a separate legal person that its members are not as such liable for its debts.” This sentence from </w:t>
      </w:r>
      <w:r w:rsidR="00F15671">
        <w:rPr>
          <w:rFonts w:ascii="Times New Roman" w:hAnsi="Times New Roman" w:cs="Times New Roman"/>
        </w:rPr>
        <w:t>the 4</w:t>
      </w:r>
      <w:r w:rsidR="00F15671" w:rsidRPr="00F15671">
        <w:rPr>
          <w:rFonts w:ascii="Times New Roman" w:hAnsi="Times New Roman" w:cs="Times New Roman"/>
          <w:vertAlign w:val="superscript"/>
        </w:rPr>
        <w:t>th</w:t>
      </w:r>
      <w:r w:rsidR="00F15671">
        <w:rPr>
          <w:rFonts w:ascii="Times New Roman" w:hAnsi="Times New Roman" w:cs="Times New Roman"/>
        </w:rPr>
        <w:t xml:space="preserve"> edition (1979) of </w:t>
      </w:r>
      <w:r w:rsidR="00817AAB">
        <w:rPr>
          <w:rFonts w:ascii="Times New Roman" w:hAnsi="Times New Roman" w:cs="Times New Roman"/>
        </w:rPr>
        <w:t xml:space="preserve">Gower’s </w:t>
      </w:r>
      <w:r w:rsidR="00817AAB">
        <w:rPr>
          <w:rFonts w:ascii="Times New Roman" w:hAnsi="Times New Roman" w:cs="Times New Roman"/>
          <w:i/>
          <w:iCs/>
        </w:rPr>
        <w:t xml:space="preserve">Principles of Modern Company Law </w:t>
      </w:r>
      <w:r w:rsidR="00817AAB">
        <w:rPr>
          <w:rFonts w:ascii="Times New Roman" w:hAnsi="Times New Roman" w:cs="Times New Roman"/>
        </w:rPr>
        <w:t xml:space="preserve">was approved by Kerr L J </w:t>
      </w:r>
      <w:r w:rsidR="00472DB5">
        <w:rPr>
          <w:rFonts w:ascii="Times New Roman" w:hAnsi="Times New Roman" w:cs="Times New Roman"/>
        </w:rPr>
        <w:t xml:space="preserve">in the Court of Appeal </w:t>
      </w:r>
      <w:r w:rsidR="00817AAB">
        <w:rPr>
          <w:rFonts w:ascii="Times New Roman" w:hAnsi="Times New Roman" w:cs="Times New Roman"/>
        </w:rPr>
        <w:t xml:space="preserve">in </w:t>
      </w:r>
      <w:r w:rsidR="00817AAB">
        <w:rPr>
          <w:rFonts w:ascii="Times New Roman" w:hAnsi="Times New Roman" w:cs="Times New Roman"/>
          <w:i/>
          <w:iCs/>
        </w:rPr>
        <w:t xml:space="preserve">JH Rayner (Mincing Lane) </w:t>
      </w:r>
      <w:r w:rsidR="00DD05E0">
        <w:rPr>
          <w:rFonts w:ascii="Times New Roman" w:hAnsi="Times New Roman" w:cs="Times New Roman"/>
          <w:i/>
          <w:iCs/>
        </w:rPr>
        <w:t xml:space="preserve">Ltd v Department </w:t>
      </w:r>
      <w:r w:rsidR="00DD05E0">
        <w:rPr>
          <w:rFonts w:ascii="Times New Roman" w:hAnsi="Times New Roman" w:cs="Times New Roman"/>
          <w:i/>
          <w:iCs/>
        </w:rPr>
        <w:lastRenderedPageBreak/>
        <w:t>of Trade</w:t>
      </w:r>
      <w:r w:rsidR="00DD05E0" w:rsidRPr="009D3E35">
        <w:rPr>
          <w:rStyle w:val="ab"/>
          <w:rFonts w:ascii="Times New Roman" w:hAnsi="Times New Roman" w:cs="Times New Roman"/>
        </w:rPr>
        <w:footnoteReference w:id="10"/>
      </w:r>
      <w:r w:rsidR="00DD05E0">
        <w:rPr>
          <w:rFonts w:ascii="Times New Roman" w:hAnsi="Times New Roman" w:cs="Times New Roman"/>
          <w:i/>
          <w:iCs/>
        </w:rPr>
        <w:t xml:space="preserve"> </w:t>
      </w:r>
      <w:r w:rsidR="00DD05E0">
        <w:rPr>
          <w:rFonts w:ascii="Times New Roman" w:hAnsi="Times New Roman" w:cs="Times New Roman"/>
        </w:rPr>
        <w:t>and suggests</w:t>
      </w:r>
      <w:r w:rsidR="00357180">
        <w:rPr>
          <w:rFonts w:ascii="Times New Roman" w:hAnsi="Times New Roman" w:cs="Times New Roman"/>
        </w:rPr>
        <w:t xml:space="preserve"> </w:t>
      </w:r>
      <w:r w:rsidR="00212EDC">
        <w:rPr>
          <w:rFonts w:ascii="Times New Roman" w:hAnsi="Times New Roman" w:cs="Times New Roman"/>
        </w:rPr>
        <w:t xml:space="preserve">separate corporate personality does the job of shielding the members against third-party creditors. </w:t>
      </w:r>
      <w:r w:rsidR="00212EDC" w:rsidRPr="00212EDC">
        <w:rPr>
          <w:rFonts w:ascii="Times New Roman" w:hAnsi="Times New Roman" w:cs="Times New Roman"/>
        </w:rPr>
        <w:t>The facts of this case raised the point precisely. The claimants sought to make the states behind the International Tin Council</w:t>
      </w:r>
      <w:r w:rsidR="000633C1">
        <w:rPr>
          <w:rFonts w:ascii="Times New Roman" w:hAnsi="Times New Roman" w:cs="Times New Roman"/>
        </w:rPr>
        <w:t xml:space="preserve">, an inter-state body not incorporated under the British (or any other state’s) </w:t>
      </w:r>
      <w:proofErr w:type="gramStart"/>
      <w:r w:rsidR="000633C1">
        <w:rPr>
          <w:rFonts w:ascii="Times New Roman" w:hAnsi="Times New Roman" w:cs="Times New Roman"/>
        </w:rPr>
        <w:t>companies</w:t>
      </w:r>
      <w:proofErr w:type="gramEnd"/>
      <w:r w:rsidR="000633C1">
        <w:rPr>
          <w:rFonts w:ascii="Times New Roman" w:hAnsi="Times New Roman" w:cs="Times New Roman"/>
        </w:rPr>
        <w:t xml:space="preserve"> legislation,</w:t>
      </w:r>
      <w:r w:rsidR="00212EDC" w:rsidRPr="00212EDC">
        <w:rPr>
          <w:rFonts w:ascii="Times New Roman" w:hAnsi="Times New Roman" w:cs="Times New Roman"/>
        </w:rPr>
        <w:t xml:space="preserve"> liable for its debts. The Council</w:t>
      </w:r>
      <w:r w:rsidR="00E230F3">
        <w:rPr>
          <w:rFonts w:ascii="Times New Roman" w:hAnsi="Times New Roman" w:cs="Times New Roman"/>
        </w:rPr>
        <w:t>, which was established in the UK,</w:t>
      </w:r>
      <w:r w:rsidR="00212EDC" w:rsidRPr="00212EDC">
        <w:rPr>
          <w:rFonts w:ascii="Times New Roman" w:hAnsi="Times New Roman" w:cs="Times New Roman"/>
        </w:rPr>
        <w:t xml:space="preserve"> had been grated separate legal personality by </w:t>
      </w:r>
      <w:r w:rsidR="00212EDC">
        <w:rPr>
          <w:rFonts w:ascii="Times New Roman" w:hAnsi="Times New Roman" w:cs="Times New Roman"/>
        </w:rPr>
        <w:t>Order in Council</w:t>
      </w:r>
      <w:r w:rsidR="00212EDC" w:rsidRPr="00212EDC">
        <w:rPr>
          <w:rFonts w:ascii="Times New Roman" w:hAnsi="Times New Roman" w:cs="Times New Roman"/>
        </w:rPr>
        <w:t xml:space="preserve"> but not limited liability.</w:t>
      </w:r>
      <w:r w:rsidR="00C246F4">
        <w:rPr>
          <w:rStyle w:val="ab"/>
          <w:rFonts w:ascii="Times New Roman" w:hAnsi="Times New Roman" w:cs="Times New Roman"/>
        </w:rPr>
        <w:footnoteReference w:id="11"/>
      </w:r>
      <w:r w:rsidR="00212EDC" w:rsidRPr="00212EDC">
        <w:rPr>
          <w:rFonts w:ascii="Times New Roman" w:hAnsi="Times New Roman" w:cs="Times New Roman"/>
        </w:rPr>
        <w:t xml:space="preserve"> </w:t>
      </w:r>
      <w:r w:rsidR="00212EDC">
        <w:rPr>
          <w:rFonts w:ascii="Times New Roman" w:hAnsi="Times New Roman" w:cs="Times New Roman"/>
        </w:rPr>
        <w:t xml:space="preserve">So, the states needed to protect themselves against </w:t>
      </w:r>
      <w:r w:rsidR="00B259A5">
        <w:rPr>
          <w:rFonts w:ascii="Times New Roman" w:hAnsi="Times New Roman" w:cs="Times New Roman"/>
        </w:rPr>
        <w:t xml:space="preserve">liability for </w:t>
      </w:r>
      <w:r w:rsidR="00212EDC">
        <w:rPr>
          <w:rFonts w:ascii="Times New Roman" w:hAnsi="Times New Roman" w:cs="Times New Roman"/>
        </w:rPr>
        <w:t>the multi-</w:t>
      </w:r>
      <w:proofErr w:type="gramStart"/>
      <w:r w:rsidR="00212EDC">
        <w:rPr>
          <w:rFonts w:ascii="Times New Roman" w:hAnsi="Times New Roman" w:cs="Times New Roman"/>
        </w:rPr>
        <w:t>million pound</w:t>
      </w:r>
      <w:proofErr w:type="gramEnd"/>
      <w:r w:rsidR="00212EDC">
        <w:rPr>
          <w:rFonts w:ascii="Times New Roman" w:hAnsi="Times New Roman" w:cs="Times New Roman"/>
        </w:rPr>
        <w:t xml:space="preserve"> debts of the Council by relying on the doctrine of separate legal personality alone. They succeeded in the Court of Appeal and in </w:t>
      </w:r>
      <w:r w:rsidR="00723047">
        <w:rPr>
          <w:rFonts w:ascii="Times New Roman" w:hAnsi="Times New Roman" w:cs="Times New Roman"/>
        </w:rPr>
        <w:t>the House of Lords</w:t>
      </w:r>
      <w:r w:rsidR="0096252D">
        <w:rPr>
          <w:rFonts w:ascii="Times New Roman" w:hAnsi="Times New Roman" w:cs="Times New Roman"/>
        </w:rPr>
        <w:t xml:space="preserve"> (now the Supreme Court)</w:t>
      </w:r>
      <w:r w:rsidR="00723047">
        <w:rPr>
          <w:rFonts w:ascii="Times New Roman" w:hAnsi="Times New Roman" w:cs="Times New Roman"/>
        </w:rPr>
        <w:t>, where</w:t>
      </w:r>
      <w:r w:rsidR="00723047" w:rsidRPr="00723047">
        <w:rPr>
          <w:rFonts w:ascii="Times New Roman" w:hAnsi="Times New Roman" w:cs="Times New Roman"/>
        </w:rPr>
        <w:t xml:space="preserve"> Lord Oliver said: “ . . . the consequence in English law of the creation of an artificial person, separate from the members who compose it, is that the artificial person alone is answerable for the debts which it incurs in its own name and for its own benefit.”</w:t>
      </w:r>
      <w:r w:rsidR="00723047">
        <w:rPr>
          <w:rStyle w:val="ab"/>
          <w:rFonts w:ascii="Times New Roman" w:hAnsi="Times New Roman" w:cs="Times New Roman"/>
        </w:rPr>
        <w:footnoteReference w:id="12"/>
      </w:r>
      <w:r w:rsidR="00F15671">
        <w:rPr>
          <w:rFonts w:ascii="Times New Roman" w:hAnsi="Times New Roman" w:cs="Times New Roman"/>
        </w:rPr>
        <w:t xml:space="preserve"> </w:t>
      </w:r>
      <w:r w:rsidR="007F1F42">
        <w:rPr>
          <w:rFonts w:ascii="Times New Roman" w:hAnsi="Times New Roman" w:cs="Times New Roman"/>
        </w:rPr>
        <w:t xml:space="preserve">There are to be no “mixed entities” in </w:t>
      </w:r>
      <w:r w:rsidR="009C4129">
        <w:rPr>
          <w:rFonts w:ascii="Times New Roman" w:hAnsi="Times New Roman" w:cs="Times New Roman"/>
        </w:rPr>
        <w:t>the</w:t>
      </w:r>
      <w:r w:rsidR="007F1F42">
        <w:rPr>
          <w:rFonts w:ascii="Times New Roman" w:hAnsi="Times New Roman" w:cs="Times New Roman"/>
        </w:rPr>
        <w:t xml:space="preserve"> law</w:t>
      </w:r>
      <w:r w:rsidR="009C4129">
        <w:rPr>
          <w:rFonts w:ascii="Times New Roman" w:hAnsi="Times New Roman" w:cs="Times New Roman"/>
        </w:rPr>
        <w:t xml:space="preserve"> of England and Wales,</w:t>
      </w:r>
      <w:r w:rsidR="00590ACF">
        <w:rPr>
          <w:rStyle w:val="ab"/>
          <w:rFonts w:ascii="Times New Roman" w:hAnsi="Times New Roman" w:cs="Times New Roman"/>
        </w:rPr>
        <w:footnoteReference w:id="13"/>
      </w:r>
      <w:r w:rsidR="009C4129">
        <w:rPr>
          <w:rFonts w:ascii="Times New Roman" w:hAnsi="Times New Roman" w:cs="Times New Roman"/>
        </w:rPr>
        <w:t xml:space="preserve"> </w:t>
      </w:r>
      <w:proofErr w:type="spellStart"/>
      <w:r w:rsidR="009C4129">
        <w:rPr>
          <w:rFonts w:ascii="Times New Roman" w:hAnsi="Times New Roman" w:cs="Times New Roman"/>
        </w:rPr>
        <w:t>ie</w:t>
      </w:r>
      <w:proofErr w:type="spellEnd"/>
      <w:r w:rsidR="009C4129">
        <w:rPr>
          <w:rFonts w:ascii="Times New Roman" w:hAnsi="Times New Roman" w:cs="Times New Roman"/>
        </w:rPr>
        <w:t xml:space="preserve"> </w:t>
      </w:r>
      <w:r w:rsidR="009C4129" w:rsidRPr="009C4129">
        <w:rPr>
          <w:rFonts w:ascii="Times New Roman" w:hAnsi="Times New Roman" w:cs="Times New Roman"/>
        </w:rPr>
        <w:t xml:space="preserve">legal entities </w:t>
      </w:r>
      <w:r w:rsidR="009C4129">
        <w:rPr>
          <w:rFonts w:ascii="Times New Roman" w:hAnsi="Times New Roman" w:cs="Times New Roman"/>
        </w:rPr>
        <w:t>which</w:t>
      </w:r>
      <w:r w:rsidR="009C4129" w:rsidRPr="009C4129">
        <w:rPr>
          <w:rFonts w:ascii="Times New Roman" w:hAnsi="Times New Roman" w:cs="Times New Roman"/>
        </w:rPr>
        <w:t>, notwithstanding the separate legal personality of the associations</w:t>
      </w:r>
      <w:r w:rsidR="009C4129">
        <w:rPr>
          <w:rFonts w:ascii="Times New Roman" w:hAnsi="Times New Roman" w:cs="Times New Roman"/>
        </w:rPr>
        <w:t>,</w:t>
      </w:r>
      <w:r w:rsidR="009C4129" w:rsidRPr="009C4129">
        <w:rPr>
          <w:rFonts w:ascii="Times New Roman" w:hAnsi="Times New Roman" w:cs="Times New Roman"/>
        </w:rPr>
        <w:t xml:space="preserve"> involve some form of liability of the members</w:t>
      </w:r>
      <w:r w:rsidR="009C4129">
        <w:rPr>
          <w:rFonts w:ascii="Times New Roman" w:hAnsi="Times New Roman" w:cs="Times New Roman"/>
        </w:rPr>
        <w:t xml:space="preserve"> to third parties</w:t>
      </w:r>
      <w:r w:rsidR="009C4129" w:rsidRPr="009C4129">
        <w:rPr>
          <w:rFonts w:ascii="Times New Roman" w:hAnsi="Times New Roman" w:cs="Times New Roman"/>
        </w:rPr>
        <w:t>.</w:t>
      </w:r>
    </w:p>
    <w:p w14:paraId="32F11DA7" w14:textId="6D844464" w:rsidR="004D6D5A" w:rsidRDefault="004D6D5A" w:rsidP="00B71028">
      <w:pPr>
        <w:spacing w:line="276" w:lineRule="auto"/>
        <w:jc w:val="both"/>
        <w:rPr>
          <w:rFonts w:ascii="Times New Roman" w:hAnsi="Times New Roman" w:cs="Times New Roman"/>
        </w:rPr>
      </w:pPr>
      <w:r>
        <w:rPr>
          <w:rFonts w:ascii="Times New Roman" w:hAnsi="Times New Roman" w:cs="Times New Roman"/>
        </w:rPr>
        <w:t xml:space="preserve">Conceivably, one might seek to circumvent this conclusion by arguing that the company contracted as agent for its members, but this argument will not normally survive the 1896 decision of the House of Lords in </w:t>
      </w:r>
      <w:r>
        <w:rPr>
          <w:rFonts w:ascii="Times New Roman" w:hAnsi="Times New Roman" w:cs="Times New Roman"/>
          <w:i/>
          <w:iCs/>
        </w:rPr>
        <w:t>Salomon v Salomon Ltd</w:t>
      </w:r>
      <w:r>
        <w:rPr>
          <w:rFonts w:ascii="Times New Roman" w:hAnsi="Times New Roman" w:cs="Times New Roman"/>
        </w:rPr>
        <w:t>,</w:t>
      </w:r>
      <w:r>
        <w:rPr>
          <w:rStyle w:val="ab"/>
          <w:rFonts w:ascii="Times New Roman" w:hAnsi="Times New Roman" w:cs="Times New Roman"/>
        </w:rPr>
        <w:footnoteReference w:id="14"/>
      </w:r>
      <w:r>
        <w:rPr>
          <w:rFonts w:ascii="Times New Roman" w:hAnsi="Times New Roman" w:cs="Times New Roman"/>
        </w:rPr>
        <w:t xml:space="preserve"> perhaps the most famous </w:t>
      </w:r>
      <w:r w:rsidR="0096252D">
        <w:rPr>
          <w:rFonts w:ascii="Times New Roman" w:hAnsi="Times New Roman" w:cs="Times New Roman"/>
        </w:rPr>
        <w:t xml:space="preserve">British </w:t>
      </w:r>
      <w:r>
        <w:rPr>
          <w:rFonts w:ascii="Times New Roman" w:hAnsi="Times New Roman" w:cs="Times New Roman"/>
        </w:rPr>
        <w:t>company law decision ever. Here, the company’s liquidators sought to recover from the sole beneficial shareholder moneys they had paid out to discharge debentures issued by the company on the ground that the debentures had been issued by the company as agent for that shareholder. This argument led Lord Halsbury LC trenchantly to remark:</w:t>
      </w:r>
    </w:p>
    <w:p w14:paraId="670B4D42" w14:textId="77777777" w:rsidR="004D6D5A" w:rsidRDefault="004D6D5A" w:rsidP="00B71028">
      <w:pPr>
        <w:pStyle w:val="QuoteText"/>
        <w:spacing w:line="276" w:lineRule="auto"/>
        <w:rPr>
          <w:lang w:val="en-GB"/>
        </w:rPr>
      </w:pPr>
      <w:r w:rsidRPr="00F718A8">
        <w:rPr>
          <w:lang w:val="en-GB"/>
        </w:rPr>
        <w:t xml:space="preserve">“Either the limited company was a legal </w:t>
      </w:r>
      <w:proofErr w:type="gramStart"/>
      <w:r w:rsidRPr="00F718A8">
        <w:rPr>
          <w:lang w:val="en-GB"/>
        </w:rPr>
        <w:t>entity</w:t>
      </w:r>
      <w:proofErr w:type="gramEnd"/>
      <w:r w:rsidRPr="00F718A8">
        <w:rPr>
          <w:lang w:val="en-GB"/>
        </w:rPr>
        <w:t xml:space="preserve"> or it was not. If it was, the business belonged to it and not to Mr Salomon. If it was not, there was no person and </w:t>
      </w:r>
      <w:proofErr w:type="spellStart"/>
      <w:r w:rsidRPr="00F718A8">
        <w:rPr>
          <w:lang w:val="en-GB"/>
        </w:rPr>
        <w:t>no thing</w:t>
      </w:r>
      <w:proofErr w:type="spellEnd"/>
      <w:r w:rsidRPr="00F718A8">
        <w:rPr>
          <w:lang w:val="en-GB"/>
        </w:rPr>
        <w:t xml:space="preserve"> to be an agent at all; and it is impossible to say </w:t>
      </w:r>
      <w:proofErr w:type="gramStart"/>
      <w:r w:rsidRPr="00F718A8">
        <w:rPr>
          <w:lang w:val="en-GB"/>
        </w:rPr>
        <w:t>at the same time that</w:t>
      </w:r>
      <w:proofErr w:type="gramEnd"/>
      <w:r w:rsidRPr="00F718A8">
        <w:rPr>
          <w:lang w:val="en-GB"/>
        </w:rPr>
        <w:t xml:space="preserve"> there is a company and there is not.”</w:t>
      </w:r>
    </w:p>
    <w:p w14:paraId="0A70DF42" w14:textId="18BC1623" w:rsidR="00B05810" w:rsidRDefault="00B05810" w:rsidP="00B71028">
      <w:pPr>
        <w:pStyle w:val="QuoteText"/>
        <w:spacing w:line="276" w:lineRule="auto"/>
        <w:ind w:left="0"/>
        <w:rPr>
          <w:sz w:val="24"/>
          <w:szCs w:val="24"/>
          <w:lang w:val="en-GB"/>
        </w:rPr>
      </w:pPr>
      <w:r>
        <w:rPr>
          <w:sz w:val="24"/>
          <w:szCs w:val="24"/>
          <w:lang w:val="en-GB"/>
        </w:rPr>
        <w:t>In other words, given the existence of the company as a person in law, there was no basis in fact for the argument that the business was the business of the shareholders rather than of the company. Agency still has a role in this area, as we see below, but only on the margins.</w:t>
      </w:r>
    </w:p>
    <w:p w14:paraId="793A34BD" w14:textId="3F95AF75" w:rsidR="0096252D" w:rsidRDefault="0096252D" w:rsidP="00B71028">
      <w:pPr>
        <w:pStyle w:val="QuoteText"/>
        <w:spacing w:line="276" w:lineRule="auto"/>
        <w:ind w:left="0"/>
        <w:rPr>
          <w:sz w:val="24"/>
          <w:szCs w:val="24"/>
          <w:lang w:val="en-GB"/>
        </w:rPr>
      </w:pPr>
      <w:r>
        <w:rPr>
          <w:sz w:val="24"/>
          <w:szCs w:val="24"/>
          <w:lang w:val="en-GB"/>
        </w:rPr>
        <w:t xml:space="preserve">It might be thought that the position is different for companies incorporated under the Companies Act 2006 (which the Tin Council was not). Section 2 of that Act provides (and the provision goes back a long way) that the default rule is that the liability of the members is unlimited. The incorporators </w:t>
      </w:r>
      <w:proofErr w:type="gramStart"/>
      <w:r>
        <w:rPr>
          <w:sz w:val="24"/>
          <w:szCs w:val="24"/>
          <w:lang w:val="en-GB"/>
        </w:rPr>
        <w:t>have to</w:t>
      </w:r>
      <w:proofErr w:type="gramEnd"/>
      <w:r>
        <w:rPr>
          <w:sz w:val="24"/>
          <w:szCs w:val="24"/>
          <w:lang w:val="en-GB"/>
        </w:rPr>
        <w:t xml:space="preserve"> choose limited liability if that is what they wish to have (as the overwhelming majority do) by opting for it in the company’s articles of association. Does this provision imply that, in the absence of an opt out, the section makes the members liable for the company’s debts and liabilities? </w:t>
      </w:r>
      <w:r w:rsidR="00F85C6C">
        <w:rPr>
          <w:sz w:val="24"/>
          <w:szCs w:val="24"/>
          <w:lang w:val="en-GB"/>
        </w:rPr>
        <w:t xml:space="preserve">In fact, the conventional view of the statute tracks </w:t>
      </w:r>
      <w:r w:rsidR="00F85C6C">
        <w:rPr>
          <w:sz w:val="24"/>
          <w:szCs w:val="24"/>
          <w:lang w:val="en-GB"/>
        </w:rPr>
        <w:lastRenderedPageBreak/>
        <w:t>the decision of the House of Lords in the Tin Case, despite the Section 2 not being relevant there.</w:t>
      </w:r>
      <w:r w:rsidR="006B091F">
        <w:rPr>
          <w:rStyle w:val="ab"/>
          <w:sz w:val="24"/>
          <w:szCs w:val="24"/>
          <w:lang w:val="en-GB"/>
        </w:rPr>
        <w:footnoteReference w:id="15"/>
      </w:r>
      <w:r w:rsidR="00F85C6C">
        <w:rPr>
          <w:sz w:val="24"/>
          <w:szCs w:val="24"/>
          <w:lang w:val="en-GB"/>
        </w:rPr>
        <w:t xml:space="preserve">  </w:t>
      </w:r>
    </w:p>
    <w:p w14:paraId="317D9625" w14:textId="5A29388F" w:rsidR="00B610F3" w:rsidRPr="00B610F3" w:rsidRDefault="00B610F3" w:rsidP="00B71028">
      <w:pPr>
        <w:spacing w:line="276" w:lineRule="auto"/>
        <w:jc w:val="both"/>
        <w:rPr>
          <w:rFonts w:ascii="Times New Roman" w:hAnsi="Times New Roman" w:cs="Times New Roman"/>
          <w:i/>
          <w:iCs/>
        </w:rPr>
      </w:pPr>
      <w:r>
        <w:rPr>
          <w:rFonts w:ascii="Times New Roman" w:hAnsi="Times New Roman" w:cs="Times New Roman"/>
          <w:i/>
          <w:iCs/>
        </w:rPr>
        <w:t>A Little History</w:t>
      </w:r>
    </w:p>
    <w:p w14:paraId="67207A64" w14:textId="679F6622" w:rsidR="00723047" w:rsidRDefault="00B05810" w:rsidP="00B71028">
      <w:pPr>
        <w:spacing w:line="276" w:lineRule="auto"/>
        <w:jc w:val="both"/>
        <w:rPr>
          <w:rFonts w:ascii="Times New Roman" w:hAnsi="Times New Roman" w:cs="Times New Roman"/>
        </w:rPr>
      </w:pPr>
      <w:r>
        <w:rPr>
          <w:rFonts w:ascii="Times New Roman" w:hAnsi="Times New Roman" w:cs="Times New Roman"/>
        </w:rPr>
        <w:t xml:space="preserve">Indeed, it is arguable that the implications for limited liability of separate legal personality were recognised in the first modern companies Act, </w:t>
      </w:r>
      <w:proofErr w:type="gramStart"/>
      <w:r>
        <w:rPr>
          <w:rFonts w:ascii="Times New Roman" w:hAnsi="Times New Roman" w:cs="Times New Roman"/>
        </w:rPr>
        <w:t>despite the fact that</w:t>
      </w:r>
      <w:proofErr w:type="gramEnd"/>
      <w:r>
        <w:rPr>
          <w:rFonts w:ascii="Times New Roman" w:hAnsi="Times New Roman" w:cs="Times New Roman"/>
        </w:rPr>
        <w:t xml:space="preserve"> </w:t>
      </w:r>
      <w:r w:rsidR="00FF6DB8">
        <w:rPr>
          <w:rFonts w:ascii="Times New Roman" w:hAnsi="Times New Roman" w:cs="Times New Roman"/>
        </w:rPr>
        <w:t>the</w:t>
      </w:r>
      <w:r>
        <w:rPr>
          <w:rFonts w:ascii="Times New Roman" w:hAnsi="Times New Roman" w:cs="Times New Roman"/>
        </w:rPr>
        <w:t xml:space="preserve"> </w:t>
      </w:r>
      <w:r w:rsidR="00CD54AA">
        <w:rPr>
          <w:rFonts w:ascii="Times New Roman" w:hAnsi="Times New Roman" w:cs="Times New Roman"/>
        </w:rPr>
        <w:t xml:space="preserve">starting point </w:t>
      </w:r>
      <w:r w:rsidR="00FF6DB8">
        <w:rPr>
          <w:rFonts w:ascii="Times New Roman" w:hAnsi="Times New Roman" w:cs="Times New Roman"/>
        </w:rPr>
        <w:t>of</w:t>
      </w:r>
      <w:r w:rsidR="00CD54AA">
        <w:rPr>
          <w:rFonts w:ascii="Times New Roman" w:hAnsi="Times New Roman" w:cs="Times New Roman"/>
        </w:rPr>
        <w:t xml:space="preserve"> the Joint Stock Companies Act</w:t>
      </w:r>
      <w:r w:rsidR="00FF6DB8">
        <w:rPr>
          <w:rFonts w:ascii="Times New Roman" w:hAnsi="Times New Roman" w:cs="Times New Roman"/>
        </w:rPr>
        <w:t xml:space="preserve"> </w:t>
      </w:r>
      <w:r w:rsidR="00CD54AA">
        <w:rPr>
          <w:rFonts w:ascii="Times New Roman" w:hAnsi="Times New Roman" w:cs="Times New Roman"/>
        </w:rPr>
        <w:t xml:space="preserve">1844 </w:t>
      </w:r>
      <w:r w:rsidR="009C5D07">
        <w:rPr>
          <w:rFonts w:ascii="Times New Roman" w:hAnsi="Times New Roman" w:cs="Times New Roman"/>
        </w:rPr>
        <w:t>appears to be very</w:t>
      </w:r>
      <w:r w:rsidR="00CD54AA">
        <w:rPr>
          <w:rFonts w:ascii="Times New Roman" w:hAnsi="Times New Roman" w:cs="Times New Roman"/>
        </w:rPr>
        <w:t xml:space="preserve"> different. Section XXV of that</w:t>
      </w:r>
      <w:r w:rsidR="00AF2123">
        <w:rPr>
          <w:rFonts w:ascii="Times New Roman" w:hAnsi="Times New Roman" w:cs="Times New Roman"/>
        </w:rPr>
        <w:t xml:space="preserve"> Act, </w:t>
      </w:r>
      <w:r w:rsidR="00CD54AA">
        <w:rPr>
          <w:rFonts w:ascii="Times New Roman" w:hAnsi="Times New Roman" w:cs="Times New Roman"/>
        </w:rPr>
        <w:t xml:space="preserve">having </w:t>
      </w:r>
      <w:r w:rsidR="00AF2123">
        <w:rPr>
          <w:rFonts w:ascii="Times New Roman" w:hAnsi="Times New Roman" w:cs="Times New Roman"/>
        </w:rPr>
        <w:t>conferr</w:t>
      </w:r>
      <w:r w:rsidR="00CD54AA">
        <w:rPr>
          <w:rFonts w:ascii="Times New Roman" w:hAnsi="Times New Roman" w:cs="Times New Roman"/>
        </w:rPr>
        <w:t>ed</w:t>
      </w:r>
      <w:r w:rsidR="00AF2123">
        <w:rPr>
          <w:rFonts w:ascii="Times New Roman" w:hAnsi="Times New Roman" w:cs="Times New Roman"/>
        </w:rPr>
        <w:t xml:space="preserve"> </w:t>
      </w:r>
      <w:r w:rsidR="009D3E35">
        <w:rPr>
          <w:rFonts w:ascii="Times New Roman" w:hAnsi="Times New Roman" w:cs="Times New Roman"/>
        </w:rPr>
        <w:t>legal personality</w:t>
      </w:r>
      <w:r w:rsidR="00AF2123">
        <w:rPr>
          <w:rFonts w:ascii="Times New Roman" w:hAnsi="Times New Roman" w:cs="Times New Roman"/>
        </w:rPr>
        <w:t xml:space="preserve"> on the company, expressly retained the liability of its members</w:t>
      </w:r>
      <w:r w:rsidR="00753DD7">
        <w:rPr>
          <w:rFonts w:ascii="Times New Roman" w:hAnsi="Times New Roman" w:cs="Times New Roman"/>
        </w:rPr>
        <w:t xml:space="preserve"> as against outsiders</w:t>
      </w:r>
      <w:r w:rsidR="00AF2123">
        <w:rPr>
          <w:rFonts w:ascii="Times New Roman" w:hAnsi="Times New Roman" w:cs="Times New Roman"/>
        </w:rPr>
        <w:t xml:space="preserve">. </w:t>
      </w:r>
      <w:r w:rsidR="00380752">
        <w:rPr>
          <w:rFonts w:ascii="Times New Roman" w:hAnsi="Times New Roman" w:cs="Times New Roman"/>
        </w:rPr>
        <w:t xml:space="preserve">The Act did not confer limited liability on companies incorporate under it. </w:t>
      </w:r>
      <w:r w:rsidR="00AF2123">
        <w:rPr>
          <w:rFonts w:ascii="Times New Roman" w:hAnsi="Times New Roman" w:cs="Times New Roman"/>
        </w:rPr>
        <w:t>The grant of separate legal personality on registration was to operate “so as not in anywise to restrict the Liability of any of the Shareholders under any Judgment [etc]</w:t>
      </w:r>
      <w:r w:rsidR="00E26F64">
        <w:rPr>
          <w:rFonts w:ascii="Times New Roman" w:hAnsi="Times New Roman" w:cs="Times New Roman"/>
        </w:rPr>
        <w:t xml:space="preserve"> . . .</w:t>
      </w:r>
      <w:r w:rsidR="00AF2123">
        <w:rPr>
          <w:rFonts w:ascii="Times New Roman" w:hAnsi="Times New Roman" w:cs="Times New Roman"/>
        </w:rPr>
        <w:t xml:space="preserve"> which shall be obtained against such Company . . . but every Shareholder shall </w:t>
      </w:r>
      <w:r w:rsidR="009B3817">
        <w:rPr>
          <w:rFonts w:ascii="Times New Roman" w:hAnsi="Times New Roman" w:cs="Times New Roman"/>
        </w:rPr>
        <w:t xml:space="preserve">. . . be and continue liable as he would have been if the said Company not been incorporated . . .” </w:t>
      </w:r>
      <w:r w:rsidR="00AF2123">
        <w:rPr>
          <w:rFonts w:ascii="Times New Roman" w:hAnsi="Times New Roman" w:cs="Times New Roman"/>
        </w:rPr>
        <w:t xml:space="preserve"> </w:t>
      </w:r>
      <w:r w:rsidR="00357180">
        <w:rPr>
          <w:rFonts w:ascii="Times New Roman" w:hAnsi="Times New Roman" w:cs="Times New Roman"/>
        </w:rPr>
        <w:t xml:space="preserve">Had the company not been incorporated, the members would </w:t>
      </w:r>
      <w:r w:rsidR="009F56C8">
        <w:rPr>
          <w:rFonts w:ascii="Times New Roman" w:hAnsi="Times New Roman" w:cs="Times New Roman"/>
        </w:rPr>
        <w:t xml:space="preserve">have </w:t>
      </w:r>
      <w:r w:rsidR="00357180">
        <w:rPr>
          <w:rFonts w:ascii="Times New Roman" w:hAnsi="Times New Roman" w:cs="Times New Roman"/>
        </w:rPr>
        <w:t>be</w:t>
      </w:r>
      <w:r w:rsidR="009F56C8">
        <w:rPr>
          <w:rFonts w:ascii="Times New Roman" w:hAnsi="Times New Roman" w:cs="Times New Roman"/>
        </w:rPr>
        <w:t>en</w:t>
      </w:r>
      <w:r w:rsidR="00357180">
        <w:rPr>
          <w:rFonts w:ascii="Times New Roman" w:hAnsi="Times New Roman" w:cs="Times New Roman"/>
        </w:rPr>
        <w:t xml:space="preserve"> liable for its debts, </w:t>
      </w:r>
      <w:r w:rsidR="009C5D07">
        <w:rPr>
          <w:rFonts w:ascii="Times New Roman" w:hAnsi="Times New Roman" w:cs="Times New Roman"/>
        </w:rPr>
        <w:t xml:space="preserve">it was thought, </w:t>
      </w:r>
      <w:r w:rsidR="00357180">
        <w:rPr>
          <w:rFonts w:ascii="Times New Roman" w:hAnsi="Times New Roman" w:cs="Times New Roman"/>
        </w:rPr>
        <w:t xml:space="preserve">so the 1844 Act stood in the way of any analysis along the lines later adopted in the </w:t>
      </w:r>
      <w:r w:rsidR="009275EF">
        <w:rPr>
          <w:rFonts w:ascii="Times New Roman" w:hAnsi="Times New Roman" w:cs="Times New Roman"/>
          <w:i/>
          <w:iCs/>
        </w:rPr>
        <w:t xml:space="preserve">Rayner </w:t>
      </w:r>
      <w:r w:rsidR="009275EF">
        <w:rPr>
          <w:rFonts w:ascii="Times New Roman" w:hAnsi="Times New Roman" w:cs="Times New Roman"/>
        </w:rPr>
        <w:t>case.</w:t>
      </w:r>
      <w:r w:rsidR="009C5D07">
        <w:rPr>
          <w:rFonts w:ascii="Times New Roman" w:hAnsi="Times New Roman" w:cs="Times New Roman"/>
        </w:rPr>
        <w:t xml:space="preserve"> But, as Lord Oliver recognised in </w:t>
      </w:r>
      <w:r w:rsidR="009C5D07">
        <w:rPr>
          <w:rFonts w:ascii="Times New Roman" w:hAnsi="Times New Roman" w:cs="Times New Roman"/>
          <w:i/>
          <w:iCs/>
        </w:rPr>
        <w:t>Rayner</w:t>
      </w:r>
      <w:r w:rsidR="009C5D07">
        <w:rPr>
          <w:rFonts w:ascii="Times New Roman" w:hAnsi="Times New Roman" w:cs="Times New Roman"/>
        </w:rPr>
        <w:t xml:space="preserve">, the proviso to section XXV in fact supports </w:t>
      </w:r>
      <w:r w:rsidR="00591F3C">
        <w:rPr>
          <w:rFonts w:ascii="Times New Roman" w:hAnsi="Times New Roman" w:cs="Times New Roman"/>
        </w:rPr>
        <w:t>his</w:t>
      </w:r>
      <w:r w:rsidR="009C5D07">
        <w:rPr>
          <w:rFonts w:ascii="Times New Roman" w:hAnsi="Times New Roman" w:cs="Times New Roman"/>
        </w:rPr>
        <w:t xml:space="preserve"> view </w:t>
      </w:r>
      <w:r w:rsidR="00591F3C">
        <w:rPr>
          <w:rFonts w:ascii="Times New Roman" w:hAnsi="Times New Roman" w:cs="Times New Roman"/>
        </w:rPr>
        <w:t>about</w:t>
      </w:r>
      <w:r w:rsidR="009C7319">
        <w:rPr>
          <w:rFonts w:ascii="Times New Roman" w:hAnsi="Times New Roman" w:cs="Times New Roman"/>
        </w:rPr>
        <w:t xml:space="preserve"> what the position would be in the absence of the proviso:</w:t>
      </w:r>
      <w:r w:rsidR="009C5D07">
        <w:rPr>
          <w:rFonts w:ascii="Times New Roman" w:hAnsi="Times New Roman" w:cs="Times New Roman"/>
        </w:rPr>
        <w:t xml:space="preserve"> </w:t>
      </w:r>
      <w:r w:rsidR="009C7319">
        <w:rPr>
          <w:rFonts w:ascii="Times New Roman" w:hAnsi="Times New Roman" w:cs="Times New Roman"/>
        </w:rPr>
        <w:t>“</w:t>
      </w:r>
      <w:r w:rsidR="009C7319" w:rsidRPr="009C7319">
        <w:rPr>
          <w:rFonts w:ascii="Times New Roman" w:hAnsi="Times New Roman" w:cs="Times New Roman"/>
        </w:rPr>
        <w:t xml:space="preserve">As a legal personality the joint stock company created under the </w:t>
      </w:r>
      <w:r w:rsidR="009C7319">
        <w:rPr>
          <w:rFonts w:ascii="Times New Roman" w:hAnsi="Times New Roman" w:cs="Times New Roman"/>
        </w:rPr>
        <w:t xml:space="preserve">[1844] </w:t>
      </w:r>
      <w:r w:rsidR="009C7319" w:rsidRPr="009C7319">
        <w:rPr>
          <w:rFonts w:ascii="Times New Roman" w:hAnsi="Times New Roman" w:cs="Times New Roman"/>
        </w:rPr>
        <w:t>Act was the sole contracting party in the engagements into which it entered and it was necessary for the legislature to impose liability on the corporators by express statutory provision.</w:t>
      </w:r>
      <w:r w:rsidR="009C7319">
        <w:rPr>
          <w:rFonts w:ascii="Times New Roman" w:hAnsi="Times New Roman" w:cs="Times New Roman"/>
        </w:rPr>
        <w:t>”</w:t>
      </w:r>
      <w:r w:rsidR="009C7319">
        <w:rPr>
          <w:rStyle w:val="ab"/>
          <w:rFonts w:ascii="Times New Roman" w:hAnsi="Times New Roman" w:cs="Times New Roman"/>
        </w:rPr>
        <w:footnoteReference w:id="16"/>
      </w:r>
    </w:p>
    <w:p w14:paraId="111C5D73" w14:textId="418E4DBA" w:rsidR="00723047" w:rsidRDefault="009C7319" w:rsidP="00B71028">
      <w:pPr>
        <w:spacing w:line="276" w:lineRule="auto"/>
        <w:jc w:val="both"/>
        <w:rPr>
          <w:rFonts w:ascii="Times New Roman" w:hAnsi="Times New Roman" w:cs="Times New Roman"/>
        </w:rPr>
      </w:pPr>
      <w:r>
        <w:rPr>
          <w:rFonts w:ascii="Times New Roman" w:hAnsi="Times New Roman" w:cs="Times New Roman"/>
        </w:rPr>
        <w:t>In any event</w:t>
      </w:r>
      <w:r w:rsidR="009275EF">
        <w:rPr>
          <w:rFonts w:ascii="Times New Roman" w:hAnsi="Times New Roman" w:cs="Times New Roman"/>
        </w:rPr>
        <w:t>, a</w:t>
      </w:r>
      <w:r w:rsidR="009B3817">
        <w:rPr>
          <w:rFonts w:ascii="Times New Roman" w:hAnsi="Times New Roman" w:cs="Times New Roman"/>
        </w:rPr>
        <w:t xml:space="preserve">s is well known, this </w:t>
      </w:r>
      <w:r w:rsidR="00591F3C">
        <w:rPr>
          <w:rFonts w:ascii="Times New Roman" w:hAnsi="Times New Roman" w:cs="Times New Roman"/>
        </w:rPr>
        <w:t>statutory set up</w:t>
      </w:r>
      <w:r w:rsidR="009B3817">
        <w:rPr>
          <w:rFonts w:ascii="Times New Roman" w:hAnsi="Times New Roman" w:cs="Times New Roman"/>
        </w:rPr>
        <w:t xml:space="preserve"> did not continue beyond 1855, when the Limited Liability Act of that year </w:t>
      </w:r>
      <w:r w:rsidR="00C20ECD">
        <w:rPr>
          <w:rFonts w:ascii="Times New Roman" w:hAnsi="Times New Roman" w:cs="Times New Roman"/>
        </w:rPr>
        <w:t>gave</w:t>
      </w:r>
      <w:r w:rsidR="009B3817">
        <w:rPr>
          <w:rFonts w:ascii="Times New Roman" w:hAnsi="Times New Roman" w:cs="Times New Roman"/>
        </w:rPr>
        <w:t xml:space="preserve"> companies </w:t>
      </w:r>
      <w:r w:rsidR="00C20ECD">
        <w:rPr>
          <w:rFonts w:ascii="Times New Roman" w:hAnsi="Times New Roman" w:cs="Times New Roman"/>
        </w:rPr>
        <w:t xml:space="preserve">the option to </w:t>
      </w:r>
      <w:r w:rsidR="009B3817">
        <w:rPr>
          <w:rFonts w:ascii="Times New Roman" w:hAnsi="Times New Roman" w:cs="Times New Roman"/>
        </w:rPr>
        <w:t>register or re-register with limited liability for the members</w:t>
      </w:r>
      <w:r w:rsidR="00380752">
        <w:rPr>
          <w:rFonts w:ascii="Times New Roman" w:hAnsi="Times New Roman" w:cs="Times New Roman"/>
        </w:rPr>
        <w:t>, thus taking the first step towards creating the modern position</w:t>
      </w:r>
      <w:r w:rsidR="009B3817">
        <w:rPr>
          <w:rFonts w:ascii="Times New Roman" w:hAnsi="Times New Roman" w:cs="Times New Roman"/>
        </w:rPr>
        <w:t>.</w:t>
      </w:r>
      <w:r w:rsidR="00753DD7">
        <w:rPr>
          <w:rFonts w:ascii="Times New Roman" w:hAnsi="Times New Roman" w:cs="Times New Roman"/>
        </w:rPr>
        <w:t xml:space="preserve"> </w:t>
      </w:r>
      <w:r w:rsidR="009F56C8">
        <w:rPr>
          <w:rFonts w:ascii="Times New Roman" w:hAnsi="Times New Roman" w:cs="Times New Roman"/>
        </w:rPr>
        <w:t xml:space="preserve">Yet, that Act did not </w:t>
      </w:r>
      <w:r>
        <w:rPr>
          <w:rFonts w:ascii="Times New Roman" w:hAnsi="Times New Roman" w:cs="Times New Roman"/>
        </w:rPr>
        <w:t>remove</w:t>
      </w:r>
      <w:r w:rsidR="009F56C8">
        <w:rPr>
          <w:rFonts w:ascii="Times New Roman" w:hAnsi="Times New Roman" w:cs="Times New Roman"/>
        </w:rPr>
        <w:t xml:space="preserve"> the</w:t>
      </w:r>
      <w:r w:rsidR="00FF6DB8">
        <w:rPr>
          <w:rFonts w:ascii="Times New Roman" w:hAnsi="Times New Roman" w:cs="Times New Roman"/>
        </w:rPr>
        <w:t xml:space="preserve"> proviso</w:t>
      </w:r>
      <w:r w:rsidR="009F56C8">
        <w:rPr>
          <w:rFonts w:ascii="Times New Roman" w:hAnsi="Times New Roman" w:cs="Times New Roman"/>
        </w:rPr>
        <w:t xml:space="preserve"> </w:t>
      </w:r>
      <w:r w:rsidR="00FF6DB8">
        <w:rPr>
          <w:rFonts w:ascii="Times New Roman" w:hAnsi="Times New Roman" w:cs="Times New Roman"/>
        </w:rPr>
        <w:t xml:space="preserve">to </w:t>
      </w:r>
      <w:r w:rsidR="00B259A5">
        <w:rPr>
          <w:rFonts w:ascii="Times New Roman" w:hAnsi="Times New Roman" w:cs="Times New Roman"/>
        </w:rPr>
        <w:t xml:space="preserve">the grant of </w:t>
      </w:r>
      <w:r w:rsidR="00FF6DB8">
        <w:rPr>
          <w:rFonts w:ascii="Times New Roman" w:hAnsi="Times New Roman" w:cs="Times New Roman"/>
        </w:rPr>
        <w:t xml:space="preserve">separate legal personality </w:t>
      </w:r>
      <w:r>
        <w:rPr>
          <w:rFonts w:ascii="Times New Roman" w:hAnsi="Times New Roman" w:cs="Times New Roman"/>
        </w:rPr>
        <w:t>contained in the earlier Act</w:t>
      </w:r>
      <w:r w:rsidR="00B259A5">
        <w:rPr>
          <w:rFonts w:ascii="Times New Roman" w:hAnsi="Times New Roman" w:cs="Times New Roman"/>
        </w:rPr>
        <w:t xml:space="preserve"> to the effect</w:t>
      </w:r>
      <w:r>
        <w:rPr>
          <w:rFonts w:ascii="Times New Roman" w:hAnsi="Times New Roman" w:cs="Times New Roman"/>
        </w:rPr>
        <w:t xml:space="preserve"> </w:t>
      </w:r>
      <w:r w:rsidR="009F56C8">
        <w:rPr>
          <w:rFonts w:ascii="Times New Roman" w:hAnsi="Times New Roman" w:cs="Times New Roman"/>
        </w:rPr>
        <w:t>that the members were liable in principle on judgments etc obtained against the company. What it did was severely qualify the impact of th</w:t>
      </w:r>
      <w:r w:rsidR="006A5D10">
        <w:rPr>
          <w:rFonts w:ascii="Times New Roman" w:hAnsi="Times New Roman" w:cs="Times New Roman"/>
        </w:rPr>
        <w:t>at proviso</w:t>
      </w:r>
      <w:r w:rsidR="009F56C8">
        <w:rPr>
          <w:rFonts w:ascii="Times New Roman" w:hAnsi="Times New Roman" w:cs="Times New Roman"/>
        </w:rPr>
        <w:t xml:space="preserve"> by </w:t>
      </w:r>
      <w:r w:rsidR="006A5D10">
        <w:rPr>
          <w:rFonts w:ascii="Times New Roman" w:hAnsi="Times New Roman" w:cs="Times New Roman"/>
        </w:rPr>
        <w:t>stipulating</w:t>
      </w:r>
      <w:r w:rsidR="00EB6C4B">
        <w:rPr>
          <w:rFonts w:ascii="Times New Roman" w:hAnsi="Times New Roman" w:cs="Times New Roman"/>
        </w:rPr>
        <w:t xml:space="preserve"> that the members of a company which had taken up th</w:t>
      </w:r>
      <w:r>
        <w:rPr>
          <w:rFonts w:ascii="Times New Roman" w:hAnsi="Times New Roman" w:cs="Times New Roman"/>
        </w:rPr>
        <w:t>e limited liability</w:t>
      </w:r>
      <w:r w:rsidR="00EB6C4B">
        <w:rPr>
          <w:rFonts w:ascii="Times New Roman" w:hAnsi="Times New Roman" w:cs="Times New Roman"/>
        </w:rPr>
        <w:t xml:space="preserve"> option “shall not be liable, under any Judgment, Decree or Order which shall be obtained against such Company, or for any Debt or Engagement of such Company, further or otherwise than is herein-after provided.”</w:t>
      </w:r>
      <w:r w:rsidR="00EB6C4B">
        <w:rPr>
          <w:rStyle w:val="ab"/>
          <w:rFonts w:ascii="Times New Roman" w:hAnsi="Times New Roman" w:cs="Times New Roman"/>
        </w:rPr>
        <w:footnoteReference w:id="17"/>
      </w:r>
      <w:r w:rsidR="00EB6C4B">
        <w:rPr>
          <w:rFonts w:ascii="Times New Roman" w:hAnsi="Times New Roman" w:cs="Times New Roman"/>
        </w:rPr>
        <w:t xml:space="preserve"> </w:t>
      </w:r>
      <w:r w:rsidR="009F56C8">
        <w:rPr>
          <w:rFonts w:ascii="Times New Roman" w:hAnsi="Times New Roman" w:cs="Times New Roman"/>
        </w:rPr>
        <w:t xml:space="preserve">What was provided hereinafter was the </w:t>
      </w:r>
      <w:r w:rsidR="00EB6C4B">
        <w:rPr>
          <w:rFonts w:ascii="Times New Roman" w:hAnsi="Times New Roman" w:cs="Times New Roman"/>
        </w:rPr>
        <w:t xml:space="preserve">retention of member liability </w:t>
      </w:r>
      <w:r w:rsidR="009F56C8">
        <w:rPr>
          <w:rFonts w:ascii="Times New Roman" w:hAnsi="Times New Roman" w:cs="Times New Roman"/>
        </w:rPr>
        <w:t xml:space="preserve">but only </w:t>
      </w:r>
      <w:r w:rsidR="00EB6C4B">
        <w:rPr>
          <w:rFonts w:ascii="Times New Roman" w:hAnsi="Times New Roman" w:cs="Times New Roman"/>
        </w:rPr>
        <w:t xml:space="preserve">to </w:t>
      </w:r>
      <w:r w:rsidR="00EB6C4B">
        <w:rPr>
          <w:rFonts w:ascii="Times New Roman" w:hAnsi="Times New Roman" w:cs="Times New Roman"/>
        </w:rPr>
        <w:lastRenderedPageBreak/>
        <w:t>the extent of the amount un</w:t>
      </w:r>
      <w:r w:rsidR="00E5074B">
        <w:rPr>
          <w:rFonts w:ascii="Times New Roman" w:hAnsi="Times New Roman" w:cs="Times New Roman"/>
        </w:rPr>
        <w:t>paid on their shares.</w:t>
      </w:r>
      <w:r w:rsidR="00E5074B">
        <w:rPr>
          <w:rStyle w:val="ab"/>
          <w:rFonts w:ascii="Times New Roman" w:hAnsi="Times New Roman" w:cs="Times New Roman"/>
        </w:rPr>
        <w:footnoteReference w:id="18"/>
      </w:r>
      <w:r w:rsidR="005E764A">
        <w:rPr>
          <w:rFonts w:ascii="Times New Roman" w:hAnsi="Times New Roman" w:cs="Times New Roman"/>
        </w:rPr>
        <w:t xml:space="preserve"> At this point, therefore,</w:t>
      </w:r>
      <w:r w:rsidR="00753DD7">
        <w:rPr>
          <w:rFonts w:ascii="Times New Roman" w:hAnsi="Times New Roman" w:cs="Times New Roman"/>
        </w:rPr>
        <w:t xml:space="preserve"> </w:t>
      </w:r>
      <w:r w:rsidR="009F56C8">
        <w:rPr>
          <w:rFonts w:ascii="Times New Roman" w:hAnsi="Times New Roman" w:cs="Times New Roman"/>
        </w:rPr>
        <w:t xml:space="preserve">both separate personality of the company and </w:t>
      </w:r>
      <w:r w:rsidR="00753DD7">
        <w:rPr>
          <w:rFonts w:ascii="Times New Roman" w:hAnsi="Times New Roman" w:cs="Times New Roman"/>
        </w:rPr>
        <w:t xml:space="preserve">limited liability </w:t>
      </w:r>
      <w:r w:rsidR="009F56C8">
        <w:rPr>
          <w:rFonts w:ascii="Times New Roman" w:hAnsi="Times New Roman" w:cs="Times New Roman"/>
        </w:rPr>
        <w:t xml:space="preserve">of the shareholders were needed to </w:t>
      </w:r>
      <w:r w:rsidR="00753DD7">
        <w:rPr>
          <w:rFonts w:ascii="Times New Roman" w:hAnsi="Times New Roman" w:cs="Times New Roman"/>
        </w:rPr>
        <w:t>protect the members against third party claims.</w:t>
      </w:r>
      <w:r w:rsidR="00822749">
        <w:rPr>
          <w:rFonts w:ascii="Times New Roman" w:hAnsi="Times New Roman" w:cs="Times New Roman"/>
        </w:rPr>
        <w:t xml:space="preserve"> </w:t>
      </w:r>
    </w:p>
    <w:p w14:paraId="7AAC1561" w14:textId="1A415649" w:rsidR="00822749" w:rsidRDefault="00822749" w:rsidP="00B71028">
      <w:pPr>
        <w:spacing w:line="276" w:lineRule="auto"/>
        <w:jc w:val="both"/>
        <w:rPr>
          <w:rFonts w:ascii="Times New Roman" w:hAnsi="Times New Roman" w:cs="Times New Roman"/>
        </w:rPr>
      </w:pPr>
      <w:r>
        <w:rPr>
          <w:rFonts w:ascii="Times New Roman" w:hAnsi="Times New Roman" w:cs="Times New Roman"/>
        </w:rPr>
        <w:t xml:space="preserve">However, with the Companies Act 1862 – note the change away from the term “Joint Stock Company” – </w:t>
      </w:r>
      <w:r w:rsidR="00883DD3">
        <w:rPr>
          <w:rFonts w:ascii="Times New Roman" w:hAnsi="Times New Roman" w:cs="Times New Roman"/>
        </w:rPr>
        <w:t xml:space="preserve">further steps towards </w:t>
      </w:r>
      <w:r>
        <w:rPr>
          <w:rFonts w:ascii="Times New Roman" w:hAnsi="Times New Roman" w:cs="Times New Roman"/>
        </w:rPr>
        <w:t xml:space="preserve">the modern pattern </w:t>
      </w:r>
      <w:r w:rsidR="00883DD3">
        <w:rPr>
          <w:rFonts w:ascii="Times New Roman" w:hAnsi="Times New Roman" w:cs="Times New Roman"/>
        </w:rPr>
        <w:t>were taken</w:t>
      </w:r>
      <w:r>
        <w:rPr>
          <w:rFonts w:ascii="Times New Roman" w:hAnsi="Times New Roman" w:cs="Times New Roman"/>
        </w:rPr>
        <w:t xml:space="preserve"> and the scene was set for the analysis later adopted in the </w:t>
      </w:r>
      <w:r>
        <w:rPr>
          <w:rFonts w:ascii="Times New Roman" w:hAnsi="Times New Roman" w:cs="Times New Roman"/>
          <w:i/>
          <w:iCs/>
        </w:rPr>
        <w:t xml:space="preserve">Rayner </w:t>
      </w:r>
      <w:r>
        <w:rPr>
          <w:rFonts w:ascii="Times New Roman" w:hAnsi="Times New Roman" w:cs="Times New Roman"/>
        </w:rPr>
        <w:t xml:space="preserve">case. On registration, the company became a body corporate but there was no </w:t>
      </w:r>
      <w:r w:rsidR="00377BD1">
        <w:rPr>
          <w:rFonts w:ascii="Times New Roman" w:hAnsi="Times New Roman" w:cs="Times New Roman"/>
        </w:rPr>
        <w:t xml:space="preserve">longer </w:t>
      </w:r>
      <w:r>
        <w:rPr>
          <w:rFonts w:ascii="Times New Roman" w:hAnsi="Times New Roman" w:cs="Times New Roman"/>
        </w:rPr>
        <w:t xml:space="preserve">mention of the liability of the members to meet judgments </w:t>
      </w:r>
      <w:r w:rsidR="00FF6DB8">
        <w:rPr>
          <w:rFonts w:ascii="Times New Roman" w:hAnsi="Times New Roman" w:cs="Times New Roman"/>
        </w:rPr>
        <w:t xml:space="preserve">or debts </w:t>
      </w:r>
      <w:r>
        <w:rPr>
          <w:rFonts w:ascii="Times New Roman" w:hAnsi="Times New Roman" w:cs="Times New Roman"/>
        </w:rPr>
        <w:t>third parties h</w:t>
      </w:r>
      <w:r w:rsidR="00FF6DB8">
        <w:rPr>
          <w:rFonts w:ascii="Times New Roman" w:hAnsi="Times New Roman" w:cs="Times New Roman"/>
        </w:rPr>
        <w:t>eld in relation to</w:t>
      </w:r>
      <w:r>
        <w:rPr>
          <w:rFonts w:ascii="Times New Roman" w:hAnsi="Times New Roman" w:cs="Times New Roman"/>
        </w:rPr>
        <w:t xml:space="preserve"> the company.</w:t>
      </w:r>
      <w:r w:rsidR="00AA5D11">
        <w:rPr>
          <w:rStyle w:val="ab"/>
          <w:rFonts w:ascii="Times New Roman" w:hAnsi="Times New Roman" w:cs="Times New Roman"/>
        </w:rPr>
        <w:footnoteReference w:id="19"/>
      </w:r>
      <w:r>
        <w:rPr>
          <w:rFonts w:ascii="Times New Roman" w:hAnsi="Times New Roman" w:cs="Times New Roman"/>
        </w:rPr>
        <w:t xml:space="preserve"> </w:t>
      </w:r>
      <w:r w:rsidR="00E656B9">
        <w:rPr>
          <w:rFonts w:ascii="Times New Roman" w:hAnsi="Times New Roman" w:cs="Times New Roman"/>
        </w:rPr>
        <w:t>Separate legal personality</w:t>
      </w:r>
      <w:r w:rsidR="00377BD1">
        <w:rPr>
          <w:rFonts w:ascii="Times New Roman" w:hAnsi="Times New Roman" w:cs="Times New Roman"/>
        </w:rPr>
        <w:t xml:space="preserve">, it was provided, went along </w:t>
      </w:r>
      <w:r w:rsidR="00927749">
        <w:rPr>
          <w:rFonts w:ascii="Times New Roman" w:hAnsi="Times New Roman" w:cs="Times New Roman"/>
        </w:rPr>
        <w:t xml:space="preserve">instead </w:t>
      </w:r>
      <w:r w:rsidR="00377BD1">
        <w:rPr>
          <w:rFonts w:ascii="Times New Roman" w:hAnsi="Times New Roman" w:cs="Times New Roman"/>
        </w:rPr>
        <w:t>with “such Liability on the part of the Members to Contribute to the Assets of the Company in the event of the same being wound up as herein-after mentioned.”</w:t>
      </w:r>
      <w:r w:rsidR="00377BD1">
        <w:rPr>
          <w:rStyle w:val="ab"/>
          <w:rFonts w:ascii="Times New Roman" w:hAnsi="Times New Roman" w:cs="Times New Roman"/>
        </w:rPr>
        <w:footnoteReference w:id="20"/>
      </w:r>
      <w:r w:rsidR="00377BD1">
        <w:rPr>
          <w:rFonts w:ascii="Times New Roman" w:hAnsi="Times New Roman" w:cs="Times New Roman"/>
        </w:rPr>
        <w:t xml:space="preserve"> </w:t>
      </w:r>
      <w:r w:rsidR="00927749">
        <w:rPr>
          <w:rFonts w:ascii="Times New Roman" w:hAnsi="Times New Roman" w:cs="Times New Roman"/>
        </w:rPr>
        <w:t xml:space="preserve">And what was </w:t>
      </w:r>
      <w:r w:rsidR="00AA5D11">
        <w:rPr>
          <w:rFonts w:ascii="Times New Roman" w:hAnsi="Times New Roman" w:cs="Times New Roman"/>
        </w:rPr>
        <w:t xml:space="preserve">now </w:t>
      </w:r>
      <w:r w:rsidR="00927749">
        <w:rPr>
          <w:rFonts w:ascii="Times New Roman" w:hAnsi="Times New Roman" w:cs="Times New Roman"/>
        </w:rPr>
        <w:t xml:space="preserve">provided hereinafter was a provision in terms strikingly like those of </w:t>
      </w:r>
      <w:r w:rsidR="00883DD3">
        <w:rPr>
          <w:rFonts w:ascii="Times New Roman" w:hAnsi="Times New Roman" w:cs="Times New Roman"/>
        </w:rPr>
        <w:t>the current provi</w:t>
      </w:r>
      <w:r w:rsidR="00927749">
        <w:rPr>
          <w:rFonts w:ascii="Times New Roman" w:hAnsi="Times New Roman" w:cs="Times New Roman"/>
        </w:rPr>
        <w:t>s</w:t>
      </w:r>
      <w:r w:rsidR="00883DD3">
        <w:rPr>
          <w:rFonts w:ascii="Times New Roman" w:hAnsi="Times New Roman" w:cs="Times New Roman"/>
        </w:rPr>
        <w:t>ion - s</w:t>
      </w:r>
      <w:r w:rsidR="00927749">
        <w:rPr>
          <w:rFonts w:ascii="Times New Roman" w:hAnsi="Times New Roman" w:cs="Times New Roman"/>
        </w:rPr>
        <w:t xml:space="preserve"> 74 of the Insolvency Act 1986</w:t>
      </w:r>
      <w:r w:rsidR="00883DD3">
        <w:rPr>
          <w:rFonts w:ascii="Times New Roman" w:hAnsi="Times New Roman" w:cs="Times New Roman"/>
        </w:rPr>
        <w:t xml:space="preserve"> -</w:t>
      </w:r>
      <w:r w:rsidR="009926F9">
        <w:rPr>
          <w:rFonts w:ascii="Times New Roman" w:hAnsi="Times New Roman" w:cs="Times New Roman"/>
        </w:rPr>
        <w:t xml:space="preserve"> that is,</w:t>
      </w:r>
      <w:r w:rsidR="00927749">
        <w:rPr>
          <w:rFonts w:ascii="Times New Roman" w:hAnsi="Times New Roman" w:cs="Times New Roman"/>
        </w:rPr>
        <w:t xml:space="preserve"> </w:t>
      </w:r>
      <w:r w:rsidR="00E116FE">
        <w:rPr>
          <w:rFonts w:ascii="Times New Roman" w:hAnsi="Times New Roman" w:cs="Times New Roman"/>
        </w:rPr>
        <w:t xml:space="preserve">liability on the members in proceedings initiated by the liquidators </w:t>
      </w:r>
      <w:r w:rsidR="00927749">
        <w:rPr>
          <w:rFonts w:ascii="Times New Roman" w:hAnsi="Times New Roman" w:cs="Times New Roman"/>
        </w:rPr>
        <w:t xml:space="preserve">to make a contribution </w:t>
      </w:r>
      <w:r w:rsidR="009926F9">
        <w:rPr>
          <w:rFonts w:ascii="Times New Roman" w:hAnsi="Times New Roman" w:cs="Times New Roman"/>
        </w:rPr>
        <w:t xml:space="preserve">to the company’s assets on insolvency, </w:t>
      </w:r>
      <w:r w:rsidR="00927749">
        <w:rPr>
          <w:rFonts w:ascii="Times New Roman" w:hAnsi="Times New Roman" w:cs="Times New Roman"/>
        </w:rPr>
        <w:t>which, however, was limited to the amo</w:t>
      </w:r>
      <w:r w:rsidR="00BC1023">
        <w:rPr>
          <w:rFonts w:ascii="Times New Roman" w:hAnsi="Times New Roman" w:cs="Times New Roman"/>
        </w:rPr>
        <w:t>u</w:t>
      </w:r>
      <w:r w:rsidR="00927749">
        <w:rPr>
          <w:rFonts w:ascii="Times New Roman" w:hAnsi="Times New Roman" w:cs="Times New Roman"/>
        </w:rPr>
        <w:t>n</w:t>
      </w:r>
      <w:r w:rsidR="009926F9">
        <w:rPr>
          <w:rFonts w:ascii="Times New Roman" w:hAnsi="Times New Roman" w:cs="Times New Roman"/>
        </w:rPr>
        <w:t>t</w:t>
      </w:r>
      <w:r w:rsidR="00927749">
        <w:rPr>
          <w:rFonts w:ascii="Times New Roman" w:hAnsi="Times New Roman" w:cs="Times New Roman"/>
        </w:rPr>
        <w:t xml:space="preserve"> unpaid on the shares or to the extent of the guarantee.</w:t>
      </w:r>
      <w:r w:rsidR="00807E7C">
        <w:rPr>
          <w:rStyle w:val="ab"/>
          <w:rFonts w:ascii="Times New Roman" w:hAnsi="Times New Roman" w:cs="Times New Roman"/>
        </w:rPr>
        <w:footnoteReference w:id="21"/>
      </w:r>
      <w:r w:rsidR="00927749">
        <w:rPr>
          <w:rFonts w:ascii="Times New Roman" w:hAnsi="Times New Roman" w:cs="Times New Roman"/>
        </w:rPr>
        <w:t xml:space="preserve"> </w:t>
      </w:r>
      <w:r w:rsidR="00377BD1">
        <w:rPr>
          <w:rFonts w:ascii="Times New Roman" w:hAnsi="Times New Roman" w:cs="Times New Roman"/>
        </w:rPr>
        <w:t>This formulation survived through successive Companies Act into that of 1948</w:t>
      </w:r>
      <w:r w:rsidR="00377BD1">
        <w:rPr>
          <w:rStyle w:val="ab"/>
          <w:rFonts w:ascii="Times New Roman" w:hAnsi="Times New Roman" w:cs="Times New Roman"/>
        </w:rPr>
        <w:footnoteReference w:id="22"/>
      </w:r>
      <w:r w:rsidR="00377BD1">
        <w:rPr>
          <w:rFonts w:ascii="Times New Roman" w:hAnsi="Times New Roman" w:cs="Times New Roman"/>
        </w:rPr>
        <w:t xml:space="preserve"> and the consolidating Act of 1985</w:t>
      </w:r>
      <w:r w:rsidR="00927749">
        <w:rPr>
          <w:rFonts w:ascii="Times New Roman" w:hAnsi="Times New Roman" w:cs="Times New Roman"/>
        </w:rPr>
        <w:t>.</w:t>
      </w:r>
      <w:r w:rsidR="00927749">
        <w:rPr>
          <w:rStyle w:val="ab"/>
          <w:rFonts w:ascii="Times New Roman" w:hAnsi="Times New Roman" w:cs="Times New Roman"/>
        </w:rPr>
        <w:footnoteReference w:id="23"/>
      </w:r>
      <w:r w:rsidR="00927749">
        <w:rPr>
          <w:rFonts w:ascii="Times New Roman" w:hAnsi="Times New Roman" w:cs="Times New Roman"/>
        </w:rPr>
        <w:t xml:space="preserve"> Only with the Companies Act 2006 did the reference to winding up disappear from the Companies legislation, presumably because it had already been transferred to the Insolvency Act 1986, </w:t>
      </w:r>
      <w:r w:rsidR="00BC1023">
        <w:rPr>
          <w:rFonts w:ascii="Times New Roman" w:hAnsi="Times New Roman" w:cs="Times New Roman"/>
        </w:rPr>
        <w:t>thus leaving the Companies Act 2006 without a specification of what limited liability means, at least where liability is limited by shares.</w:t>
      </w:r>
      <w:r w:rsidR="00BC1023">
        <w:rPr>
          <w:rStyle w:val="ab"/>
          <w:rFonts w:ascii="Times New Roman" w:hAnsi="Times New Roman" w:cs="Times New Roman"/>
        </w:rPr>
        <w:footnoteReference w:id="24"/>
      </w:r>
    </w:p>
    <w:p w14:paraId="77873F50" w14:textId="4A0D547A" w:rsidR="00BE4725" w:rsidRDefault="005D1565" w:rsidP="00B71028">
      <w:pPr>
        <w:spacing w:line="276" w:lineRule="auto"/>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up-shot</w:t>
      </w:r>
      <w:proofErr w:type="gramEnd"/>
      <w:r>
        <w:rPr>
          <w:rFonts w:ascii="Times New Roman" w:hAnsi="Times New Roman" w:cs="Times New Roman"/>
        </w:rPr>
        <w:t xml:space="preserve"> of this </w:t>
      </w:r>
      <w:r w:rsidR="00FA0A84">
        <w:rPr>
          <w:rFonts w:ascii="Times New Roman" w:hAnsi="Times New Roman" w:cs="Times New Roman"/>
        </w:rPr>
        <w:t>argument</w:t>
      </w:r>
      <w:r>
        <w:rPr>
          <w:rFonts w:ascii="Times New Roman" w:hAnsi="Times New Roman" w:cs="Times New Roman"/>
        </w:rPr>
        <w:t xml:space="preserve"> is that, in the core case of the claims </w:t>
      </w:r>
      <w:r w:rsidR="00FF6DB8">
        <w:rPr>
          <w:rFonts w:ascii="Times New Roman" w:hAnsi="Times New Roman" w:cs="Times New Roman"/>
        </w:rPr>
        <w:t>by</w:t>
      </w:r>
      <w:r>
        <w:rPr>
          <w:rFonts w:ascii="Times New Roman" w:hAnsi="Times New Roman" w:cs="Times New Roman"/>
        </w:rPr>
        <w:t xml:space="preserve"> third parties </w:t>
      </w:r>
      <w:r w:rsidR="00FF6DB8">
        <w:rPr>
          <w:rFonts w:ascii="Times New Roman" w:hAnsi="Times New Roman" w:cs="Times New Roman"/>
        </w:rPr>
        <w:t>arising out of the company’s business</w:t>
      </w:r>
      <w:r>
        <w:rPr>
          <w:rFonts w:ascii="Times New Roman" w:hAnsi="Times New Roman" w:cs="Times New Roman"/>
        </w:rPr>
        <w:t>, the member is protected against direct liability by the doctrine of separate legal personality</w:t>
      </w:r>
      <w:r w:rsidR="00E656B9">
        <w:rPr>
          <w:rFonts w:ascii="Times New Roman" w:hAnsi="Times New Roman" w:cs="Times New Roman"/>
        </w:rPr>
        <w:t xml:space="preserve">, as confirmed in </w:t>
      </w:r>
      <w:r w:rsidR="00E656B9">
        <w:rPr>
          <w:rFonts w:ascii="Times New Roman" w:hAnsi="Times New Roman" w:cs="Times New Roman"/>
          <w:i/>
          <w:iCs/>
        </w:rPr>
        <w:t>Rayner</w:t>
      </w:r>
      <w:r>
        <w:rPr>
          <w:rFonts w:ascii="Times New Roman" w:hAnsi="Times New Roman" w:cs="Times New Roman"/>
        </w:rPr>
        <w:t xml:space="preserve">. </w:t>
      </w:r>
      <w:r w:rsidR="00B259A5">
        <w:rPr>
          <w:rFonts w:ascii="Times New Roman" w:hAnsi="Times New Roman" w:cs="Times New Roman"/>
        </w:rPr>
        <w:t xml:space="preserve">This so whether the creditor seeks to sue the members directly or, more likely, sues the company initially and then seeks to enforce the court’s judgement against the members. </w:t>
      </w:r>
      <w:r>
        <w:rPr>
          <w:rFonts w:ascii="Times New Roman" w:hAnsi="Times New Roman" w:cs="Times New Roman"/>
        </w:rPr>
        <w:t>The member is not responsible for another person’s liabilities, even if there is a close relationship between the two</w:t>
      </w:r>
      <w:r w:rsidR="00E656B9">
        <w:rPr>
          <w:rFonts w:ascii="Times New Roman" w:hAnsi="Times New Roman" w:cs="Times New Roman"/>
        </w:rPr>
        <w:t xml:space="preserve"> persons</w:t>
      </w:r>
      <w:r>
        <w:rPr>
          <w:rFonts w:ascii="Times New Roman" w:hAnsi="Times New Roman" w:cs="Times New Roman"/>
        </w:rPr>
        <w:t xml:space="preserve">. However, separate legal personality does not protect the member if it is the company which is claiming </w:t>
      </w:r>
      <w:r w:rsidR="00B259A5">
        <w:rPr>
          <w:rFonts w:ascii="Times New Roman" w:hAnsi="Times New Roman" w:cs="Times New Roman"/>
        </w:rPr>
        <w:t>a contribut</w:t>
      </w:r>
      <w:r w:rsidR="00C246F4">
        <w:rPr>
          <w:rFonts w:ascii="Times New Roman" w:hAnsi="Times New Roman" w:cs="Times New Roman"/>
        </w:rPr>
        <w:t>i</w:t>
      </w:r>
      <w:r w:rsidR="00B259A5">
        <w:rPr>
          <w:rFonts w:ascii="Times New Roman" w:hAnsi="Times New Roman" w:cs="Times New Roman"/>
        </w:rPr>
        <w:t xml:space="preserve">on from </w:t>
      </w:r>
      <w:r>
        <w:rPr>
          <w:rFonts w:ascii="Times New Roman" w:hAnsi="Times New Roman" w:cs="Times New Roman"/>
        </w:rPr>
        <w:t>the member</w:t>
      </w:r>
      <w:r w:rsidR="00B259A5">
        <w:rPr>
          <w:rFonts w:ascii="Times New Roman" w:hAnsi="Times New Roman" w:cs="Times New Roman"/>
        </w:rPr>
        <w:t>s</w:t>
      </w:r>
      <w:r w:rsidR="00173544">
        <w:rPr>
          <w:rFonts w:ascii="Times New Roman" w:hAnsi="Times New Roman" w:cs="Times New Roman"/>
        </w:rPr>
        <w:t xml:space="preserve"> because the company cannot meet its obligations</w:t>
      </w:r>
      <w:r>
        <w:rPr>
          <w:rFonts w:ascii="Times New Roman" w:hAnsi="Times New Roman" w:cs="Times New Roman"/>
        </w:rPr>
        <w:t>. Indeed, here separate legal personality provides a basic building block for the company’s claim</w:t>
      </w:r>
      <w:r w:rsidR="00E656B9">
        <w:rPr>
          <w:rFonts w:ascii="Times New Roman" w:hAnsi="Times New Roman" w:cs="Times New Roman"/>
        </w:rPr>
        <w:t>: the member cannot seek to rebut it by arguing that the company is trying to sue itself</w:t>
      </w:r>
      <w:r>
        <w:rPr>
          <w:rFonts w:ascii="Times New Roman" w:hAnsi="Times New Roman" w:cs="Times New Roman"/>
        </w:rPr>
        <w:t>. Thus, to provide complete protection against third party claims, the member needs, and</w:t>
      </w:r>
      <w:r w:rsidR="00F94C71">
        <w:rPr>
          <w:rFonts w:ascii="Times New Roman" w:hAnsi="Times New Roman" w:cs="Times New Roman"/>
        </w:rPr>
        <w:t xml:space="preserve"> is provide</w:t>
      </w:r>
      <w:r w:rsidR="00173544">
        <w:rPr>
          <w:rFonts w:ascii="Times New Roman" w:hAnsi="Times New Roman" w:cs="Times New Roman"/>
        </w:rPr>
        <w:t>d</w:t>
      </w:r>
      <w:r w:rsidR="00F94C71">
        <w:rPr>
          <w:rFonts w:ascii="Times New Roman" w:hAnsi="Times New Roman" w:cs="Times New Roman"/>
        </w:rPr>
        <w:t xml:space="preserve"> with</w:t>
      </w:r>
      <w:r>
        <w:rPr>
          <w:rFonts w:ascii="Times New Roman" w:hAnsi="Times New Roman" w:cs="Times New Roman"/>
        </w:rPr>
        <w:t xml:space="preserve">, protection </w:t>
      </w:r>
      <w:r>
        <w:rPr>
          <w:rFonts w:ascii="Times New Roman" w:hAnsi="Times New Roman" w:cs="Times New Roman"/>
        </w:rPr>
        <w:lastRenderedPageBreak/>
        <w:t xml:space="preserve">against </w:t>
      </w:r>
      <w:r w:rsidR="002427A6">
        <w:rPr>
          <w:rFonts w:ascii="Times New Roman" w:hAnsi="Times New Roman" w:cs="Times New Roman"/>
        </w:rPr>
        <w:t xml:space="preserve">both </w:t>
      </w:r>
      <w:r>
        <w:rPr>
          <w:rFonts w:ascii="Times New Roman" w:hAnsi="Times New Roman" w:cs="Times New Roman"/>
        </w:rPr>
        <w:t xml:space="preserve">direct claims </w:t>
      </w:r>
      <w:r w:rsidR="00F02032">
        <w:rPr>
          <w:rFonts w:ascii="Times New Roman" w:hAnsi="Times New Roman" w:cs="Times New Roman"/>
        </w:rPr>
        <w:t xml:space="preserve">brought by third parties </w:t>
      </w:r>
      <w:r w:rsidR="002427A6">
        <w:rPr>
          <w:rFonts w:ascii="Times New Roman" w:hAnsi="Times New Roman" w:cs="Times New Roman"/>
        </w:rPr>
        <w:t>(</w:t>
      </w:r>
      <w:r>
        <w:rPr>
          <w:rFonts w:ascii="Times New Roman" w:hAnsi="Times New Roman" w:cs="Times New Roman"/>
        </w:rPr>
        <w:t>via separate legal personality</w:t>
      </w:r>
      <w:r w:rsidR="002427A6">
        <w:rPr>
          <w:rFonts w:ascii="Times New Roman" w:hAnsi="Times New Roman" w:cs="Times New Roman"/>
        </w:rPr>
        <w:t>)</w:t>
      </w:r>
      <w:r>
        <w:rPr>
          <w:rFonts w:ascii="Times New Roman" w:hAnsi="Times New Roman" w:cs="Times New Roman"/>
        </w:rPr>
        <w:t xml:space="preserve"> and against claims </w:t>
      </w:r>
      <w:r w:rsidR="00F02032">
        <w:rPr>
          <w:rFonts w:ascii="Times New Roman" w:hAnsi="Times New Roman" w:cs="Times New Roman"/>
        </w:rPr>
        <w:t>brought by the liquidators and so by</w:t>
      </w:r>
      <w:r>
        <w:rPr>
          <w:rFonts w:ascii="Times New Roman" w:hAnsi="Times New Roman" w:cs="Times New Roman"/>
        </w:rPr>
        <w:t xml:space="preserve"> the company </w:t>
      </w:r>
      <w:r w:rsidR="002427A6">
        <w:rPr>
          <w:rFonts w:ascii="Times New Roman" w:hAnsi="Times New Roman" w:cs="Times New Roman"/>
        </w:rPr>
        <w:t>(</w:t>
      </w:r>
      <w:r>
        <w:rPr>
          <w:rFonts w:ascii="Times New Roman" w:hAnsi="Times New Roman" w:cs="Times New Roman"/>
        </w:rPr>
        <w:t>by limited liability</w:t>
      </w:r>
      <w:r w:rsidR="00BE4725">
        <w:rPr>
          <w:rFonts w:ascii="Times New Roman" w:hAnsi="Times New Roman" w:cs="Times New Roman"/>
        </w:rPr>
        <w:t>, if that is chosen</w:t>
      </w:r>
      <w:r w:rsidR="002427A6">
        <w:rPr>
          <w:rFonts w:ascii="Times New Roman" w:hAnsi="Times New Roman" w:cs="Times New Roman"/>
        </w:rPr>
        <w:t>)</w:t>
      </w:r>
      <w:r>
        <w:rPr>
          <w:rFonts w:ascii="Times New Roman" w:hAnsi="Times New Roman" w:cs="Times New Roman"/>
        </w:rPr>
        <w:t>.</w:t>
      </w:r>
    </w:p>
    <w:p w14:paraId="195B984B" w14:textId="5E2C0292" w:rsidR="00BC1023" w:rsidRDefault="00BE4725" w:rsidP="00B71028">
      <w:pPr>
        <w:spacing w:line="276" w:lineRule="auto"/>
        <w:jc w:val="both"/>
        <w:rPr>
          <w:rFonts w:ascii="Times New Roman" w:hAnsi="Times New Roman" w:cs="Times New Roman"/>
        </w:rPr>
      </w:pPr>
      <w:r>
        <w:rPr>
          <w:rFonts w:ascii="Times New Roman" w:hAnsi="Times New Roman" w:cs="Times New Roman"/>
        </w:rPr>
        <w:t>It is sometimes said that the above argument is footling. The third-party claimant will always prefer to sue the company rather than multiple members, certainly where the company is still a going concern, and even in insolvency (assuming the insolvency provisions permitted the members to be sued directly)</w:t>
      </w:r>
      <w:r w:rsidR="00E116FE">
        <w:rPr>
          <w:rFonts w:ascii="Times New Roman" w:hAnsi="Times New Roman" w:cs="Times New Roman"/>
        </w:rPr>
        <w:t>,</w:t>
      </w:r>
      <w:r>
        <w:rPr>
          <w:rFonts w:ascii="Times New Roman" w:hAnsi="Times New Roman" w:cs="Times New Roman"/>
        </w:rPr>
        <w:t xml:space="preserve"> because suing the company puts the burden and costs of collecting the contributions from the members onto the company. So, limited liability is the senior doctrine, it is argued, and separate legal personality just a fill-in. </w:t>
      </w:r>
      <w:r w:rsidR="003C7136">
        <w:rPr>
          <w:rFonts w:ascii="Times New Roman" w:hAnsi="Times New Roman" w:cs="Times New Roman"/>
        </w:rPr>
        <w:t>But this may not always be the case. Suppose the company’s finances are known to be rocky, but the company is not yet in an insolvency procedure. A creditor anxious to steal a march on its competitors might choose to sue a substantial shareholder in the company, if the doctrine of separate legal personality did not stand i</w:t>
      </w:r>
      <w:r w:rsidR="00E116FE">
        <w:rPr>
          <w:rFonts w:ascii="Times New Roman" w:hAnsi="Times New Roman" w:cs="Times New Roman"/>
        </w:rPr>
        <w:t>n the way of</w:t>
      </w:r>
      <w:r w:rsidR="003C7136">
        <w:rPr>
          <w:rFonts w:ascii="Times New Roman" w:hAnsi="Times New Roman" w:cs="Times New Roman"/>
        </w:rPr>
        <w:t xml:space="preserve"> the creditor. </w:t>
      </w:r>
      <w:r w:rsidR="00945F4E">
        <w:rPr>
          <w:rFonts w:ascii="Times New Roman" w:hAnsi="Times New Roman" w:cs="Times New Roman"/>
        </w:rPr>
        <w:t>Here, separate legal personality supports the collective nature of insolvency proceedings. Creditor a</w:t>
      </w:r>
      <w:r w:rsidR="003C7136">
        <w:rPr>
          <w:rFonts w:ascii="Times New Roman" w:hAnsi="Times New Roman" w:cs="Times New Roman"/>
        </w:rPr>
        <w:t>ction of this type</w:t>
      </w:r>
      <w:r w:rsidR="00945F4E">
        <w:rPr>
          <w:rFonts w:ascii="Times New Roman" w:hAnsi="Times New Roman" w:cs="Times New Roman"/>
        </w:rPr>
        <w:t>, if permitted, would</w:t>
      </w:r>
      <w:r w:rsidR="003C7136">
        <w:rPr>
          <w:rFonts w:ascii="Times New Roman" w:hAnsi="Times New Roman" w:cs="Times New Roman"/>
        </w:rPr>
        <w:t xml:space="preserve"> perhaps </w:t>
      </w:r>
      <w:r w:rsidR="00945F4E">
        <w:rPr>
          <w:rFonts w:ascii="Times New Roman" w:hAnsi="Times New Roman" w:cs="Times New Roman"/>
        </w:rPr>
        <w:t xml:space="preserve">be </w:t>
      </w:r>
      <w:r w:rsidR="003C7136">
        <w:rPr>
          <w:rFonts w:ascii="Times New Roman" w:hAnsi="Times New Roman" w:cs="Times New Roman"/>
        </w:rPr>
        <w:t>particularly likely in a group of companies, where the debt or other liability has been</w:t>
      </w:r>
      <w:r w:rsidR="002427A6">
        <w:rPr>
          <w:rFonts w:ascii="Times New Roman" w:hAnsi="Times New Roman" w:cs="Times New Roman"/>
        </w:rPr>
        <w:t xml:space="preserve"> </w:t>
      </w:r>
      <w:r w:rsidR="003C7136">
        <w:rPr>
          <w:rFonts w:ascii="Times New Roman" w:hAnsi="Times New Roman" w:cs="Times New Roman"/>
        </w:rPr>
        <w:t xml:space="preserve">incurred somewhere in the lower reaches of the group and the creditor wishes </w:t>
      </w:r>
      <w:r w:rsidR="00945F4E">
        <w:rPr>
          <w:rFonts w:ascii="Times New Roman" w:hAnsi="Times New Roman" w:cs="Times New Roman"/>
        </w:rPr>
        <w:t>access the assets of</w:t>
      </w:r>
      <w:r w:rsidR="003C7136">
        <w:rPr>
          <w:rFonts w:ascii="Times New Roman" w:hAnsi="Times New Roman" w:cs="Times New Roman"/>
        </w:rPr>
        <w:t xml:space="preserve"> the </w:t>
      </w:r>
      <w:r w:rsidR="00E116FE">
        <w:rPr>
          <w:rFonts w:ascii="Times New Roman" w:hAnsi="Times New Roman" w:cs="Times New Roman"/>
        </w:rPr>
        <w:t xml:space="preserve">(still flourishing) </w:t>
      </w:r>
      <w:r w:rsidR="003C7136">
        <w:rPr>
          <w:rFonts w:ascii="Times New Roman" w:hAnsi="Times New Roman" w:cs="Times New Roman"/>
        </w:rPr>
        <w:t xml:space="preserve">parent company. This, of course, was the </w:t>
      </w:r>
      <w:r w:rsidR="003C7136">
        <w:rPr>
          <w:rFonts w:ascii="Times New Roman" w:hAnsi="Times New Roman" w:cs="Times New Roman"/>
          <w:i/>
          <w:iCs/>
        </w:rPr>
        <w:t xml:space="preserve">Adams </w:t>
      </w:r>
      <w:r w:rsidR="003C7136">
        <w:rPr>
          <w:rFonts w:ascii="Times New Roman" w:hAnsi="Times New Roman" w:cs="Times New Roman"/>
        </w:rPr>
        <w:t xml:space="preserve">situation and we will discuss it further below. </w:t>
      </w:r>
    </w:p>
    <w:p w14:paraId="331EDD03" w14:textId="464A4994" w:rsidR="008D61EB" w:rsidRDefault="008D61EB" w:rsidP="00B71028">
      <w:pPr>
        <w:spacing w:line="276" w:lineRule="auto"/>
        <w:jc w:val="both"/>
        <w:rPr>
          <w:rFonts w:ascii="Times New Roman" w:hAnsi="Times New Roman" w:cs="Times New Roman"/>
        </w:rPr>
      </w:pPr>
    </w:p>
    <w:p w14:paraId="033D2B7D" w14:textId="77E15469" w:rsidR="0042135A" w:rsidRPr="0042135A" w:rsidRDefault="0042135A" w:rsidP="00B71028">
      <w:pPr>
        <w:pStyle w:val="a6"/>
        <w:numPr>
          <w:ilvl w:val="0"/>
          <w:numId w:val="2"/>
        </w:numPr>
        <w:spacing w:line="276" w:lineRule="auto"/>
        <w:jc w:val="both"/>
        <w:rPr>
          <w:rFonts w:ascii="Times New Roman" w:hAnsi="Times New Roman" w:cs="Times New Roman"/>
          <w:b/>
          <w:bCs/>
          <w:i/>
          <w:iCs/>
        </w:rPr>
      </w:pPr>
      <w:r>
        <w:rPr>
          <w:rFonts w:ascii="Times New Roman" w:hAnsi="Times New Roman" w:cs="Times New Roman"/>
          <w:i/>
          <w:iCs/>
        </w:rPr>
        <w:t>Asset Partitioning</w:t>
      </w:r>
    </w:p>
    <w:p w14:paraId="5D00657A" w14:textId="006A50E6" w:rsidR="00380E42" w:rsidRDefault="008D61EB" w:rsidP="00B71028">
      <w:pPr>
        <w:spacing w:line="276" w:lineRule="auto"/>
        <w:jc w:val="both"/>
        <w:rPr>
          <w:rFonts w:ascii="Times New Roman" w:hAnsi="Times New Roman" w:cs="Times New Roman"/>
        </w:rPr>
      </w:pPr>
      <w:r>
        <w:rPr>
          <w:rFonts w:ascii="Times New Roman" w:hAnsi="Times New Roman" w:cs="Times New Roman"/>
        </w:rPr>
        <w:t>In part 1</w:t>
      </w:r>
      <w:r w:rsidR="0042135A">
        <w:rPr>
          <w:rFonts w:ascii="Times New Roman" w:hAnsi="Times New Roman" w:cs="Times New Roman"/>
        </w:rPr>
        <w:t>A</w:t>
      </w:r>
      <w:r>
        <w:rPr>
          <w:rFonts w:ascii="Times New Roman" w:hAnsi="Times New Roman" w:cs="Times New Roman"/>
        </w:rPr>
        <w:t xml:space="preserve"> it was established that separate legal personality and limited liability together operate in the standard case to protect the members of the company from liability for the company’s debts and other liabilities, whether the third party’s claims are asserted directly against the member or</w:t>
      </w:r>
      <w:r w:rsidR="009D25A2">
        <w:rPr>
          <w:rFonts w:ascii="Times New Roman" w:hAnsi="Times New Roman" w:cs="Times New Roman"/>
        </w:rPr>
        <w:t>, indirectly,</w:t>
      </w:r>
      <w:r>
        <w:rPr>
          <w:rFonts w:ascii="Times New Roman" w:hAnsi="Times New Roman" w:cs="Times New Roman"/>
        </w:rPr>
        <w:t xml:space="preserve"> via a claim by the </w:t>
      </w:r>
      <w:r w:rsidR="009D25A2">
        <w:rPr>
          <w:rFonts w:ascii="Times New Roman" w:hAnsi="Times New Roman" w:cs="Times New Roman"/>
        </w:rPr>
        <w:t xml:space="preserve">insolvent </w:t>
      </w:r>
      <w:r>
        <w:rPr>
          <w:rFonts w:ascii="Times New Roman" w:hAnsi="Times New Roman" w:cs="Times New Roman"/>
        </w:rPr>
        <w:t xml:space="preserve">company for a contribution from the members to </w:t>
      </w:r>
      <w:r w:rsidR="009D25A2">
        <w:rPr>
          <w:rFonts w:ascii="Times New Roman" w:hAnsi="Times New Roman" w:cs="Times New Roman"/>
        </w:rPr>
        <w:t>meet the company’s liabilities.</w:t>
      </w:r>
      <w:r>
        <w:rPr>
          <w:rFonts w:ascii="Times New Roman" w:hAnsi="Times New Roman" w:cs="Times New Roman"/>
        </w:rPr>
        <w:t xml:space="preserve"> </w:t>
      </w:r>
      <w:r w:rsidR="009D25A2">
        <w:rPr>
          <w:rFonts w:ascii="Times New Roman" w:hAnsi="Times New Roman" w:cs="Times New Roman"/>
        </w:rPr>
        <w:t>However, modern corporate law scholarship, following the lead of Professors Hansmann and Kraakman,</w:t>
      </w:r>
      <w:r w:rsidR="002166B2">
        <w:rPr>
          <w:rStyle w:val="ab"/>
          <w:rFonts w:ascii="Times New Roman" w:hAnsi="Times New Roman" w:cs="Times New Roman"/>
        </w:rPr>
        <w:footnoteReference w:id="25"/>
      </w:r>
      <w:r w:rsidR="009D25A2">
        <w:rPr>
          <w:rFonts w:ascii="Times New Roman" w:hAnsi="Times New Roman" w:cs="Times New Roman"/>
        </w:rPr>
        <w:t xml:space="preserve"> has pushed the analysis beyond </w:t>
      </w:r>
      <w:r w:rsidR="0042135A">
        <w:rPr>
          <w:rFonts w:ascii="Times New Roman" w:hAnsi="Times New Roman" w:cs="Times New Roman"/>
        </w:rPr>
        <w:t xml:space="preserve">the shielding impact of these doctrines in relation to </w:t>
      </w:r>
      <w:r w:rsidR="009D25A2">
        <w:rPr>
          <w:rFonts w:ascii="Times New Roman" w:hAnsi="Times New Roman" w:cs="Times New Roman"/>
        </w:rPr>
        <w:t xml:space="preserve">the members so bring into consideration </w:t>
      </w:r>
      <w:r w:rsidR="0042135A">
        <w:rPr>
          <w:rFonts w:ascii="Times New Roman" w:hAnsi="Times New Roman" w:cs="Times New Roman"/>
        </w:rPr>
        <w:t xml:space="preserve">their shielding </w:t>
      </w:r>
      <w:r w:rsidR="009D25A2">
        <w:rPr>
          <w:rFonts w:ascii="Times New Roman" w:hAnsi="Times New Roman" w:cs="Times New Roman"/>
        </w:rPr>
        <w:t>of the company</w:t>
      </w:r>
      <w:r w:rsidR="0042135A">
        <w:rPr>
          <w:rFonts w:ascii="Times New Roman" w:hAnsi="Times New Roman" w:cs="Times New Roman"/>
        </w:rPr>
        <w:t xml:space="preserve"> (“entity” shielding)</w:t>
      </w:r>
      <w:r w:rsidR="009D25A2">
        <w:rPr>
          <w:rFonts w:ascii="Times New Roman" w:hAnsi="Times New Roman" w:cs="Times New Roman"/>
        </w:rPr>
        <w:t>. The</w:t>
      </w:r>
      <w:r w:rsidR="0042135A">
        <w:rPr>
          <w:rFonts w:ascii="Times New Roman" w:hAnsi="Times New Roman" w:cs="Times New Roman"/>
        </w:rPr>
        <w:t>se</w:t>
      </w:r>
      <w:r w:rsidR="009D25A2">
        <w:rPr>
          <w:rFonts w:ascii="Times New Roman" w:hAnsi="Times New Roman" w:cs="Times New Roman"/>
        </w:rPr>
        <w:t xml:space="preserve"> two doctrines, they suggest, have permitted “asset partitioning” </w:t>
      </w:r>
      <w:proofErr w:type="spellStart"/>
      <w:r w:rsidR="009D25A2">
        <w:rPr>
          <w:rFonts w:ascii="Times New Roman" w:hAnsi="Times New Roman" w:cs="Times New Roman"/>
        </w:rPr>
        <w:t>ie</w:t>
      </w:r>
      <w:proofErr w:type="spellEnd"/>
      <w:r w:rsidR="009D25A2">
        <w:rPr>
          <w:rFonts w:ascii="Times New Roman" w:hAnsi="Times New Roman" w:cs="Times New Roman"/>
        </w:rPr>
        <w:t xml:space="preserve"> the separation of the assets used in the business and the assets used by the shareholders in their non</w:t>
      </w:r>
      <w:r w:rsidR="00A44480">
        <w:rPr>
          <w:rFonts w:ascii="Times New Roman" w:hAnsi="Times New Roman" w:cs="Times New Roman"/>
        </w:rPr>
        <w:t xml:space="preserve">-business activities. The former are owned by the </w:t>
      </w:r>
      <w:proofErr w:type="gramStart"/>
      <w:r w:rsidR="00A44480">
        <w:rPr>
          <w:rFonts w:ascii="Times New Roman" w:hAnsi="Times New Roman" w:cs="Times New Roman"/>
        </w:rPr>
        <w:t>company</w:t>
      </w:r>
      <w:proofErr w:type="gramEnd"/>
      <w:r w:rsidR="00A44480">
        <w:rPr>
          <w:rFonts w:ascii="Times New Roman" w:hAnsi="Times New Roman" w:cs="Times New Roman"/>
        </w:rPr>
        <w:t xml:space="preserve"> and the business debts and other obligations are enforceable against </w:t>
      </w:r>
      <w:r w:rsidR="0042135A">
        <w:rPr>
          <w:rFonts w:ascii="Times New Roman" w:hAnsi="Times New Roman" w:cs="Times New Roman"/>
        </w:rPr>
        <w:t xml:space="preserve">only </w:t>
      </w:r>
      <w:r w:rsidR="00A44480">
        <w:rPr>
          <w:rFonts w:ascii="Times New Roman" w:hAnsi="Times New Roman" w:cs="Times New Roman"/>
        </w:rPr>
        <w:t xml:space="preserve">this set of assets; the latter are owned by the member with the member’s personal debts and obligations being enforceable against </w:t>
      </w:r>
      <w:r w:rsidR="0042135A">
        <w:rPr>
          <w:rFonts w:ascii="Times New Roman" w:hAnsi="Times New Roman" w:cs="Times New Roman"/>
        </w:rPr>
        <w:t xml:space="preserve">only </w:t>
      </w:r>
      <w:r w:rsidR="00A44480">
        <w:rPr>
          <w:rFonts w:ascii="Times New Roman" w:hAnsi="Times New Roman" w:cs="Times New Roman"/>
        </w:rPr>
        <w:t xml:space="preserve">this latter set of assets. The main efficiency gain they see in this arrangement is a minimisation of creditors’ monitoring costs. The business creditors need monitor only the value of the company’s business assets, whether these be </w:t>
      </w:r>
      <w:proofErr w:type="gramStart"/>
      <w:r w:rsidR="00A44480">
        <w:rPr>
          <w:rFonts w:ascii="Times New Roman" w:hAnsi="Times New Roman" w:cs="Times New Roman"/>
        </w:rPr>
        <w:t>particular assets</w:t>
      </w:r>
      <w:proofErr w:type="gramEnd"/>
      <w:r w:rsidR="00A44480">
        <w:rPr>
          <w:rFonts w:ascii="Times New Roman" w:hAnsi="Times New Roman" w:cs="Times New Roman"/>
        </w:rPr>
        <w:t xml:space="preserve"> over which security has been granted or the value of the </w:t>
      </w:r>
      <w:proofErr w:type="gramStart"/>
      <w:r w:rsidR="00A44480">
        <w:rPr>
          <w:rFonts w:ascii="Times New Roman" w:hAnsi="Times New Roman" w:cs="Times New Roman"/>
        </w:rPr>
        <w:t>business as a whole</w:t>
      </w:r>
      <w:proofErr w:type="gramEnd"/>
      <w:r w:rsidR="00A44480">
        <w:rPr>
          <w:rFonts w:ascii="Times New Roman" w:hAnsi="Times New Roman" w:cs="Times New Roman"/>
        </w:rPr>
        <w:t xml:space="preserve">. The business creditors do not need to monitor the personal wealth of the </w:t>
      </w:r>
      <w:r w:rsidR="00003DC3">
        <w:rPr>
          <w:rFonts w:ascii="Times New Roman" w:hAnsi="Times New Roman" w:cs="Times New Roman"/>
        </w:rPr>
        <w:t xml:space="preserve">company’s members, for they cannot benefit from it in the normal case. </w:t>
      </w:r>
      <w:proofErr w:type="gramStart"/>
      <w:r w:rsidR="00487CB3">
        <w:rPr>
          <w:rFonts w:ascii="Times New Roman" w:hAnsi="Times New Roman" w:cs="Times New Roman"/>
        </w:rPr>
        <w:t>Similarly</w:t>
      </w:r>
      <w:proofErr w:type="gramEnd"/>
      <w:r w:rsidR="00487CB3">
        <w:rPr>
          <w:rFonts w:ascii="Times New Roman" w:hAnsi="Times New Roman" w:cs="Times New Roman"/>
        </w:rPr>
        <w:t xml:space="preserve"> t</w:t>
      </w:r>
      <w:r w:rsidR="00003DC3">
        <w:rPr>
          <w:rFonts w:ascii="Times New Roman" w:hAnsi="Times New Roman" w:cs="Times New Roman"/>
        </w:rPr>
        <w:t>he personal creditors of a member need to monitor only the components of that</w:t>
      </w:r>
      <w:r w:rsidR="0042135A">
        <w:rPr>
          <w:rFonts w:ascii="Times New Roman" w:hAnsi="Times New Roman" w:cs="Times New Roman"/>
        </w:rPr>
        <w:t xml:space="preserve"> person’s </w:t>
      </w:r>
      <w:r w:rsidR="00003DC3">
        <w:rPr>
          <w:rFonts w:ascii="Times New Roman" w:hAnsi="Times New Roman" w:cs="Times New Roman"/>
        </w:rPr>
        <w:t xml:space="preserve">wealth. Although that wealth will include the value of the shares in the company which the member holds and the creditor may wish to know what that </w:t>
      </w:r>
      <w:r w:rsidR="00003DC3">
        <w:rPr>
          <w:rFonts w:ascii="Times New Roman" w:hAnsi="Times New Roman" w:cs="Times New Roman"/>
        </w:rPr>
        <w:lastRenderedPageBreak/>
        <w:t>value is from time to time, the creditor does not need to engage in active scrutiny of the company’s business strategy, because it will not be able to influence it in the normal case.</w:t>
      </w:r>
      <w:r w:rsidR="0042135A">
        <w:rPr>
          <w:rStyle w:val="ab"/>
          <w:rFonts w:ascii="Times New Roman" w:hAnsi="Times New Roman" w:cs="Times New Roman"/>
        </w:rPr>
        <w:footnoteReference w:id="26"/>
      </w:r>
    </w:p>
    <w:p w14:paraId="5BC5EF98" w14:textId="5AC03FAD" w:rsidR="008D61EB" w:rsidRDefault="00380E42" w:rsidP="00B71028">
      <w:pPr>
        <w:spacing w:line="276" w:lineRule="auto"/>
        <w:jc w:val="both"/>
        <w:rPr>
          <w:rFonts w:ascii="Times New Roman" w:hAnsi="Times New Roman" w:cs="Times New Roman"/>
        </w:rPr>
      </w:pPr>
      <w:r>
        <w:rPr>
          <w:rFonts w:ascii="Times New Roman" w:hAnsi="Times New Roman" w:cs="Times New Roman"/>
        </w:rPr>
        <w:t xml:space="preserve">From the point of view of the company and those connected with it – not just members, but employees, business partners and so on – the benefit of asset partitioning is that the company’s business assets cannot be seized to satisfy the claim of members’ personal creditors. Consequently, the business of the company is not </w:t>
      </w:r>
      <w:r w:rsidR="00987E8C">
        <w:rPr>
          <w:rFonts w:ascii="Times New Roman" w:hAnsi="Times New Roman" w:cs="Times New Roman"/>
        </w:rPr>
        <w:t xml:space="preserve">immediately </w:t>
      </w:r>
      <w:r>
        <w:rPr>
          <w:rFonts w:ascii="Times New Roman" w:hAnsi="Times New Roman" w:cs="Times New Roman"/>
        </w:rPr>
        <w:t xml:space="preserve">disrupted or curtailed by the member’s insolvency -   though it is true, of course, that in time, if the shares of the bankrupt member are </w:t>
      </w:r>
      <w:r w:rsidR="00987E8C">
        <w:rPr>
          <w:rFonts w:ascii="Times New Roman" w:hAnsi="Times New Roman" w:cs="Times New Roman"/>
        </w:rPr>
        <w:t>seized and sold, the new shareholding structure may result in the adoption by the company of new business strategies. Asset partitioning has the effect of keeping the financial disruption arising from the member’s insolvency at one remove from the company itself</w:t>
      </w:r>
      <w:r w:rsidR="00A44480">
        <w:rPr>
          <w:rFonts w:ascii="Times New Roman" w:hAnsi="Times New Roman" w:cs="Times New Roman"/>
        </w:rPr>
        <w:t xml:space="preserve"> </w:t>
      </w:r>
      <w:r w:rsidR="00987E8C">
        <w:rPr>
          <w:rFonts w:ascii="Times New Roman" w:hAnsi="Times New Roman" w:cs="Times New Roman"/>
        </w:rPr>
        <w:t xml:space="preserve">and requiring share ownership changes to work themselves out through the company’s corporate governance processes rather than via the bankruptcy courts. </w:t>
      </w:r>
    </w:p>
    <w:p w14:paraId="6BC1E356" w14:textId="7EA2847B" w:rsidR="00987E8C" w:rsidRDefault="00F035B0" w:rsidP="00B71028">
      <w:pPr>
        <w:spacing w:line="276" w:lineRule="auto"/>
        <w:jc w:val="both"/>
        <w:rPr>
          <w:rFonts w:ascii="Times New Roman" w:hAnsi="Times New Roman" w:cs="Times New Roman"/>
        </w:rPr>
      </w:pPr>
      <w:r>
        <w:rPr>
          <w:rFonts w:ascii="Times New Roman" w:hAnsi="Times New Roman" w:cs="Times New Roman"/>
        </w:rPr>
        <w:t xml:space="preserve">One thing that is clear is that the </w:t>
      </w:r>
      <w:r w:rsidR="00161146">
        <w:rPr>
          <w:rFonts w:ascii="Times New Roman" w:hAnsi="Times New Roman" w:cs="Times New Roman"/>
        </w:rPr>
        <w:t>entity shielding</w:t>
      </w:r>
      <w:r>
        <w:rPr>
          <w:rFonts w:ascii="Times New Roman" w:hAnsi="Times New Roman" w:cs="Times New Roman"/>
        </w:rPr>
        <w:t xml:space="preserve"> side of asset partitioning </w:t>
      </w:r>
      <w:r w:rsidR="00337311">
        <w:rPr>
          <w:rFonts w:ascii="Times New Roman" w:hAnsi="Times New Roman" w:cs="Times New Roman"/>
        </w:rPr>
        <w:t xml:space="preserve">relies on the doctrine of separate legal personality rather than limited liability. </w:t>
      </w:r>
      <w:proofErr w:type="gramStart"/>
      <w:r w:rsidR="00337311">
        <w:rPr>
          <w:rFonts w:ascii="Times New Roman" w:hAnsi="Times New Roman" w:cs="Times New Roman"/>
        </w:rPr>
        <w:t>In spite of</w:t>
      </w:r>
      <w:proofErr w:type="gramEnd"/>
      <w:r w:rsidR="00337311">
        <w:rPr>
          <w:rFonts w:ascii="Times New Roman" w:hAnsi="Times New Roman" w:cs="Times New Roman"/>
        </w:rPr>
        <w:t xml:space="preserve"> talk of limited liability companies, the liability of the company is not at all limited by the limited liability doctrine; it is the liability of the members which is limited. On the </w:t>
      </w:r>
      <w:r w:rsidR="00706533">
        <w:rPr>
          <w:rFonts w:ascii="Times New Roman" w:hAnsi="Times New Roman" w:cs="Times New Roman"/>
        </w:rPr>
        <w:t>entity shielding</w:t>
      </w:r>
      <w:r w:rsidR="00337311">
        <w:rPr>
          <w:rFonts w:ascii="Times New Roman" w:hAnsi="Times New Roman" w:cs="Times New Roman"/>
        </w:rPr>
        <w:t xml:space="preserve"> side of asset partitioning, therefore, limited liability has no role to play; it is separate legal personality which does </w:t>
      </w:r>
      <w:r w:rsidR="006F4DC1">
        <w:rPr>
          <w:rFonts w:ascii="Times New Roman" w:hAnsi="Times New Roman" w:cs="Times New Roman"/>
        </w:rPr>
        <w:t xml:space="preserve">all </w:t>
      </w:r>
      <w:r w:rsidR="00337311">
        <w:rPr>
          <w:rFonts w:ascii="Times New Roman" w:hAnsi="Times New Roman" w:cs="Times New Roman"/>
        </w:rPr>
        <w:t xml:space="preserve">the work. Just as the court held in </w:t>
      </w:r>
      <w:r w:rsidR="00337311">
        <w:rPr>
          <w:rFonts w:ascii="Times New Roman" w:hAnsi="Times New Roman" w:cs="Times New Roman"/>
          <w:i/>
          <w:iCs/>
        </w:rPr>
        <w:t xml:space="preserve">Rayner </w:t>
      </w:r>
      <w:r w:rsidR="00337311">
        <w:rPr>
          <w:rFonts w:ascii="Times New Roman" w:hAnsi="Times New Roman" w:cs="Times New Roman"/>
        </w:rPr>
        <w:t>that the members are not liable on the obligations of the company as a separate legal person, so also the company is not liable on the obligations of the members who are separate legal persons from it.</w:t>
      </w:r>
      <w:r w:rsidR="00185E30">
        <w:rPr>
          <w:rFonts w:ascii="Times New Roman" w:hAnsi="Times New Roman" w:cs="Times New Roman"/>
        </w:rPr>
        <w:t xml:space="preserve"> </w:t>
      </w:r>
      <w:r w:rsidR="006F4DC1">
        <w:rPr>
          <w:rFonts w:ascii="Times New Roman" w:hAnsi="Times New Roman" w:cs="Times New Roman"/>
        </w:rPr>
        <w:t>Overall</w:t>
      </w:r>
      <w:r w:rsidR="00170AFE">
        <w:rPr>
          <w:rFonts w:ascii="Times New Roman" w:hAnsi="Times New Roman" w:cs="Times New Roman"/>
        </w:rPr>
        <w:t xml:space="preserve">, legal personality operates on both sides of asset partitioning: it protects the members from direct claims by creditors arising out of corporate liabilities and it protects the company from claims arising out of members’ liabilities. </w:t>
      </w:r>
      <w:r w:rsidR="006F4DC1">
        <w:rPr>
          <w:rFonts w:ascii="Times New Roman" w:hAnsi="Times New Roman" w:cs="Times New Roman"/>
        </w:rPr>
        <w:t>It is arguably the more important of the two doctrines.</w:t>
      </w:r>
      <w:r w:rsidR="00337311">
        <w:rPr>
          <w:rFonts w:ascii="Times New Roman" w:hAnsi="Times New Roman" w:cs="Times New Roman"/>
        </w:rPr>
        <w:t xml:space="preserve"> </w:t>
      </w:r>
    </w:p>
    <w:p w14:paraId="126AE92F" w14:textId="012EA63D" w:rsidR="006D0A3C" w:rsidRPr="006D0A3C" w:rsidRDefault="006D0A3C" w:rsidP="00B71028">
      <w:pPr>
        <w:pStyle w:val="a6"/>
        <w:numPr>
          <w:ilvl w:val="0"/>
          <w:numId w:val="2"/>
        </w:numPr>
        <w:spacing w:line="276" w:lineRule="auto"/>
        <w:jc w:val="both"/>
        <w:rPr>
          <w:rFonts w:ascii="Times New Roman" w:hAnsi="Times New Roman" w:cs="Times New Roman"/>
          <w:i/>
          <w:iCs/>
        </w:rPr>
      </w:pPr>
      <w:r>
        <w:rPr>
          <w:rFonts w:ascii="Times New Roman" w:hAnsi="Times New Roman" w:cs="Times New Roman"/>
          <w:i/>
          <w:iCs/>
        </w:rPr>
        <w:t>Controversy</w:t>
      </w:r>
    </w:p>
    <w:p w14:paraId="5CA521C3" w14:textId="40C5ADB4" w:rsidR="001E4C48" w:rsidRDefault="00161146" w:rsidP="00B71028">
      <w:pPr>
        <w:spacing w:line="276" w:lineRule="auto"/>
        <w:jc w:val="both"/>
        <w:rPr>
          <w:rFonts w:ascii="Times New Roman" w:hAnsi="Times New Roman" w:cs="Times New Roman"/>
        </w:rPr>
      </w:pPr>
      <w:r>
        <w:rPr>
          <w:rFonts w:ascii="Times New Roman" w:hAnsi="Times New Roman" w:cs="Times New Roman"/>
        </w:rPr>
        <w:t>It is, perhaps, natural, though not entirely logical, that the member shielding side of asset partitioning has been much more controversial in public debate than the entity side. Somehow, it is regarded as natural for the member’s personal creditors not to be able to reach the company’s assets,</w:t>
      </w:r>
      <w:r w:rsidR="008E3CC9">
        <w:rPr>
          <w:rFonts w:ascii="Times New Roman" w:hAnsi="Times New Roman" w:cs="Times New Roman"/>
        </w:rPr>
        <w:t xml:space="preserve"> </w:t>
      </w:r>
      <w:r>
        <w:rPr>
          <w:rFonts w:ascii="Times New Roman" w:hAnsi="Times New Roman" w:cs="Times New Roman"/>
        </w:rPr>
        <w:t>while some hold that it is a perversion of the proper state of things for the company’s creditors not to be able to reach the shareholder’s assets.</w:t>
      </w:r>
      <w:r w:rsidR="003418DF">
        <w:rPr>
          <w:rFonts w:ascii="Times New Roman" w:hAnsi="Times New Roman" w:cs="Times New Roman"/>
        </w:rPr>
        <w:t xml:space="preserve"> </w:t>
      </w:r>
      <w:r w:rsidR="001E4C48">
        <w:rPr>
          <w:rFonts w:ascii="Times New Roman" w:hAnsi="Times New Roman" w:cs="Times New Roman"/>
        </w:rPr>
        <w:t>In the debate, the precise technical means by which that limited liability is achieved are generally ignored; rather the question is whether limited liability is overall to the benefit of society or not is conducted at a higher policy level.</w:t>
      </w:r>
      <w:r w:rsidR="003418DF">
        <w:rPr>
          <w:rFonts w:ascii="Times New Roman" w:hAnsi="Times New Roman" w:cs="Times New Roman"/>
        </w:rPr>
        <w:t xml:space="preserve"> </w:t>
      </w:r>
    </w:p>
    <w:p w14:paraId="00C5E6DD" w14:textId="397D204B" w:rsidR="00161146" w:rsidRDefault="003418DF" w:rsidP="00B71028">
      <w:pPr>
        <w:spacing w:line="276" w:lineRule="auto"/>
        <w:jc w:val="both"/>
        <w:rPr>
          <w:rFonts w:ascii="Times New Roman" w:hAnsi="Times New Roman" w:cs="Times New Roman"/>
        </w:rPr>
      </w:pPr>
      <w:r>
        <w:rPr>
          <w:rFonts w:ascii="Times New Roman" w:hAnsi="Times New Roman" w:cs="Times New Roman"/>
        </w:rPr>
        <w:t>In th</w:t>
      </w:r>
      <w:r w:rsidR="001E4C48">
        <w:rPr>
          <w:rFonts w:ascii="Times New Roman" w:hAnsi="Times New Roman" w:cs="Times New Roman"/>
        </w:rPr>
        <w:t xml:space="preserve">is </w:t>
      </w:r>
      <w:r>
        <w:rPr>
          <w:rFonts w:ascii="Times New Roman" w:hAnsi="Times New Roman" w:cs="Times New Roman"/>
        </w:rPr>
        <w:t xml:space="preserve">debate, the benefits of limited liability have been clearly articulated. They are normally regarded as </w:t>
      </w:r>
      <w:r w:rsidR="00D623B9">
        <w:rPr>
          <w:rFonts w:ascii="Times New Roman" w:hAnsi="Times New Roman" w:cs="Times New Roman"/>
        </w:rPr>
        <w:t>four</w:t>
      </w:r>
      <w:r>
        <w:rPr>
          <w:rFonts w:ascii="Times New Roman" w:hAnsi="Times New Roman" w:cs="Times New Roman"/>
        </w:rPr>
        <w:t xml:space="preserve">-fold. </w:t>
      </w:r>
      <w:r w:rsidR="008E3CC9">
        <w:rPr>
          <w:rFonts w:ascii="Times New Roman" w:hAnsi="Times New Roman" w:cs="Times New Roman"/>
        </w:rPr>
        <w:t xml:space="preserve">First, it encourages entrepreneurship, especially at the level of start-ups. Second, it facilitates equity capital raising from the public for large projects – a person, along with many others, can take a small and distinctly non-controlling stake in the company and leave its management to professionals, while concentrating </w:t>
      </w:r>
      <w:r w:rsidR="00F05D62">
        <w:rPr>
          <w:rFonts w:ascii="Times New Roman" w:hAnsi="Times New Roman" w:cs="Times New Roman"/>
        </w:rPr>
        <w:t xml:space="preserve">instead </w:t>
      </w:r>
      <w:r w:rsidR="008E3CC9">
        <w:rPr>
          <w:rFonts w:ascii="Times New Roman" w:hAnsi="Times New Roman" w:cs="Times New Roman"/>
        </w:rPr>
        <w:t xml:space="preserve">on the activities which earned that person the </w:t>
      </w:r>
      <w:r w:rsidR="00430F40">
        <w:rPr>
          <w:rFonts w:ascii="Times New Roman" w:hAnsi="Times New Roman" w:cs="Times New Roman"/>
        </w:rPr>
        <w:t xml:space="preserve">investable </w:t>
      </w:r>
      <w:r w:rsidR="008E3CC9">
        <w:rPr>
          <w:rFonts w:ascii="Times New Roman" w:hAnsi="Times New Roman" w:cs="Times New Roman"/>
        </w:rPr>
        <w:t>surplus</w:t>
      </w:r>
      <w:r w:rsidR="00430F40">
        <w:rPr>
          <w:rFonts w:ascii="Times New Roman" w:hAnsi="Times New Roman" w:cs="Times New Roman"/>
        </w:rPr>
        <w:t>, but</w:t>
      </w:r>
      <w:r w:rsidR="00F05D62">
        <w:rPr>
          <w:rFonts w:ascii="Times New Roman" w:hAnsi="Times New Roman" w:cs="Times New Roman"/>
        </w:rPr>
        <w:t xml:space="preserve"> without putting the whole of the investor’s </w:t>
      </w:r>
      <w:r w:rsidR="00F05D62">
        <w:rPr>
          <w:rFonts w:ascii="Times New Roman" w:hAnsi="Times New Roman" w:cs="Times New Roman"/>
        </w:rPr>
        <w:lastRenderedPageBreak/>
        <w:t>personal wealth in jeopardy. Third, it facilitates portfolio diversification, an important element of in management of the risks in equity investments. Without limited liability, the multiplication of investments would multiply the insolvency risks to personal wealth. Fourth, it facilitates the trading of the shares of publicly listed companies at a uniform price since the (varying) personal wealth of the shareholders is irrelevant to the valuation of the shares.</w:t>
      </w:r>
      <w:r w:rsidR="00D623B9">
        <w:rPr>
          <w:rFonts w:ascii="Times New Roman" w:hAnsi="Times New Roman" w:cs="Times New Roman"/>
        </w:rPr>
        <w:t xml:space="preserve"> These risks might be reduced, though not eliminated, by shifting from joint and several liability for shareholders to proportionate liability vis-à-vis the creditors. </w:t>
      </w:r>
    </w:p>
    <w:p w14:paraId="7C501733" w14:textId="73792925" w:rsidR="008A6908" w:rsidRDefault="00D623B9" w:rsidP="00B71028">
      <w:pPr>
        <w:spacing w:line="276" w:lineRule="auto"/>
        <w:jc w:val="both"/>
        <w:rPr>
          <w:rFonts w:ascii="Times New Roman" w:hAnsi="Times New Roman" w:cs="Times New Roman"/>
        </w:rPr>
      </w:pPr>
      <w:r>
        <w:rPr>
          <w:rFonts w:ascii="Times New Roman" w:hAnsi="Times New Roman" w:cs="Times New Roman"/>
        </w:rPr>
        <w:t xml:space="preserve">In the light of these advantages, it is </w:t>
      </w:r>
      <w:r w:rsidR="001E4C48">
        <w:rPr>
          <w:rFonts w:ascii="Times New Roman" w:hAnsi="Times New Roman" w:cs="Times New Roman"/>
        </w:rPr>
        <w:t xml:space="preserve">perhaps </w:t>
      </w:r>
      <w:r>
        <w:rPr>
          <w:rFonts w:ascii="Times New Roman" w:hAnsi="Times New Roman" w:cs="Times New Roman"/>
        </w:rPr>
        <w:t xml:space="preserve">not surprising that limited liability is a core feature of corporate law systems around the world. However, there is no disguising the fact that the impact, even the intention, of limited liability is to transfer insolvency risks from members to creditors. </w:t>
      </w:r>
      <w:r w:rsidR="009B42AB">
        <w:rPr>
          <w:rFonts w:ascii="Times New Roman" w:hAnsi="Times New Roman" w:cs="Times New Roman"/>
        </w:rPr>
        <w:t xml:space="preserve">The counter to this argument is to point out that creditors do not lack protection. </w:t>
      </w:r>
      <w:r w:rsidR="0080236E">
        <w:rPr>
          <w:rFonts w:ascii="Times New Roman" w:hAnsi="Times New Roman" w:cs="Times New Roman"/>
        </w:rPr>
        <w:t xml:space="preserve">They may engage in pure self-help, for example, </w:t>
      </w:r>
      <w:r w:rsidR="006922F3">
        <w:rPr>
          <w:rFonts w:ascii="Times New Roman" w:hAnsi="Times New Roman" w:cs="Times New Roman"/>
        </w:rPr>
        <w:t>avoiding</w:t>
      </w:r>
      <w:r w:rsidR="0080236E">
        <w:rPr>
          <w:rFonts w:ascii="Times New Roman" w:hAnsi="Times New Roman" w:cs="Times New Roman"/>
        </w:rPr>
        <w:t xml:space="preserve"> becoming over-exposed to one </w:t>
      </w:r>
      <w:r w:rsidR="006922F3">
        <w:rPr>
          <w:rFonts w:ascii="Times New Roman" w:hAnsi="Times New Roman" w:cs="Times New Roman"/>
        </w:rPr>
        <w:t>debtor</w:t>
      </w:r>
      <w:r w:rsidR="0080236E">
        <w:rPr>
          <w:rFonts w:ascii="Times New Roman" w:hAnsi="Times New Roman" w:cs="Times New Roman"/>
        </w:rPr>
        <w:t xml:space="preserve"> or a similarly situated small group debtors</w:t>
      </w:r>
      <w:r w:rsidR="006922F3">
        <w:rPr>
          <w:rFonts w:ascii="Times New Roman" w:hAnsi="Times New Roman" w:cs="Times New Roman"/>
        </w:rPr>
        <w:t xml:space="preserve"> or monitoring closely the financial situation of substantial </w:t>
      </w:r>
      <w:r w:rsidR="001E4C48">
        <w:rPr>
          <w:rFonts w:ascii="Times New Roman" w:hAnsi="Times New Roman" w:cs="Times New Roman"/>
        </w:rPr>
        <w:t>debtors</w:t>
      </w:r>
      <w:r w:rsidR="006922F3">
        <w:rPr>
          <w:rFonts w:ascii="Times New Roman" w:hAnsi="Times New Roman" w:cs="Times New Roman"/>
        </w:rPr>
        <w:t xml:space="preserve"> (</w:t>
      </w:r>
      <w:r w:rsidR="00430F40">
        <w:rPr>
          <w:rFonts w:ascii="Times New Roman" w:hAnsi="Times New Roman" w:cs="Times New Roman"/>
        </w:rPr>
        <w:t>here</w:t>
      </w:r>
      <w:r w:rsidR="006922F3">
        <w:rPr>
          <w:rFonts w:ascii="Times New Roman" w:hAnsi="Times New Roman" w:cs="Times New Roman"/>
        </w:rPr>
        <w:t xml:space="preserve"> the financial disclosure obligations of limited companies are important). They may </w:t>
      </w:r>
      <w:r w:rsidR="009B42AB">
        <w:rPr>
          <w:rFonts w:ascii="Times New Roman" w:hAnsi="Times New Roman" w:cs="Times New Roman"/>
        </w:rPr>
        <w:t>further</w:t>
      </w:r>
      <w:r w:rsidR="006922F3">
        <w:rPr>
          <w:rFonts w:ascii="Times New Roman" w:hAnsi="Times New Roman" w:cs="Times New Roman"/>
        </w:rPr>
        <w:t xml:space="preserve"> self-help though the tools the law of contract or property gives them, for example, disclosure </w:t>
      </w:r>
      <w:r w:rsidR="00F97C32">
        <w:rPr>
          <w:rFonts w:ascii="Times New Roman" w:hAnsi="Times New Roman" w:cs="Times New Roman"/>
        </w:rPr>
        <w:t xml:space="preserve">and ratio </w:t>
      </w:r>
      <w:r w:rsidR="006922F3">
        <w:rPr>
          <w:rFonts w:ascii="Times New Roman" w:hAnsi="Times New Roman" w:cs="Times New Roman"/>
        </w:rPr>
        <w:t xml:space="preserve">covenants in loan agreements, retention of title clauses or personal or proprietary security. Finally, corporate and insolvency law provide various </w:t>
      </w:r>
      <w:r w:rsidR="009E3359">
        <w:rPr>
          <w:rFonts w:ascii="Times New Roman" w:hAnsi="Times New Roman" w:cs="Times New Roman"/>
        </w:rPr>
        <w:t>counterincentives</w:t>
      </w:r>
      <w:r w:rsidR="006922F3">
        <w:rPr>
          <w:rFonts w:ascii="Times New Roman" w:hAnsi="Times New Roman" w:cs="Times New Roman"/>
        </w:rPr>
        <w:t xml:space="preserve"> where the doctrine of limited liability is most likely to distort the </w:t>
      </w:r>
      <w:r w:rsidR="000D1AAA">
        <w:rPr>
          <w:rFonts w:ascii="Times New Roman" w:hAnsi="Times New Roman" w:cs="Times New Roman"/>
        </w:rPr>
        <w:t>behaviour</w:t>
      </w:r>
      <w:r w:rsidR="006922F3">
        <w:rPr>
          <w:rFonts w:ascii="Times New Roman" w:hAnsi="Times New Roman" w:cs="Times New Roman"/>
        </w:rPr>
        <w:t xml:space="preserve"> of the directors to the detriment of the creditors</w:t>
      </w:r>
      <w:r w:rsidR="009B42AB">
        <w:rPr>
          <w:rFonts w:ascii="Times New Roman" w:hAnsi="Times New Roman" w:cs="Times New Roman"/>
        </w:rPr>
        <w:t xml:space="preserve"> (for example, wrongful trading and various provisions which reverse suspicious corporate transactions)</w:t>
      </w:r>
      <w:r w:rsidR="006922F3">
        <w:rPr>
          <w:rFonts w:ascii="Times New Roman" w:hAnsi="Times New Roman" w:cs="Times New Roman"/>
        </w:rPr>
        <w:t xml:space="preserve">. </w:t>
      </w:r>
    </w:p>
    <w:p w14:paraId="12FBF7CB" w14:textId="5B29846C" w:rsidR="008A6908" w:rsidRDefault="009B42AB" w:rsidP="00B71028">
      <w:pPr>
        <w:spacing w:line="276" w:lineRule="auto"/>
        <w:jc w:val="both"/>
        <w:rPr>
          <w:rFonts w:ascii="Times New Roman" w:hAnsi="Times New Roman" w:cs="Times New Roman"/>
        </w:rPr>
      </w:pPr>
      <w:r>
        <w:rPr>
          <w:rFonts w:ascii="Times New Roman" w:hAnsi="Times New Roman" w:cs="Times New Roman"/>
        </w:rPr>
        <w:t>However, except in relation to the third category of protective mechanisms, these p</w:t>
      </w:r>
      <w:r w:rsidR="009E3359">
        <w:rPr>
          <w:rFonts w:ascii="Times New Roman" w:hAnsi="Times New Roman" w:cs="Times New Roman"/>
        </w:rPr>
        <w:t>ossibilities</w:t>
      </w:r>
      <w:r w:rsidR="00685304">
        <w:rPr>
          <w:rFonts w:ascii="Times New Roman" w:hAnsi="Times New Roman" w:cs="Times New Roman"/>
        </w:rPr>
        <w:t xml:space="preserve"> </w:t>
      </w:r>
      <w:r w:rsidR="00B51F22">
        <w:rPr>
          <w:rFonts w:ascii="Times New Roman" w:hAnsi="Times New Roman" w:cs="Times New Roman"/>
        </w:rPr>
        <w:t>do not benefit equally all corporate creditors. In particular, as has often been pointed out, those creditors who did not have a prior relationship with the company before the company’s obligation to them arose will find it difficult or impossible to use any of the self-help remedies</w:t>
      </w:r>
      <w:r>
        <w:rPr>
          <w:rFonts w:ascii="Times New Roman" w:hAnsi="Times New Roman" w:cs="Times New Roman"/>
        </w:rPr>
        <w:t>, because they have no opportunity to alter their relationship with the company or their behaviour towards it before they become its creditors.</w:t>
      </w:r>
      <w:r w:rsidR="00B51F22">
        <w:rPr>
          <w:rFonts w:ascii="Times New Roman" w:hAnsi="Times New Roman" w:cs="Times New Roman"/>
        </w:rPr>
        <w:t xml:space="preserve"> The classic example of such “non-adjusting” creditors </w:t>
      </w:r>
      <w:r w:rsidR="00ED3BA3">
        <w:rPr>
          <w:rFonts w:ascii="Times New Roman" w:hAnsi="Times New Roman" w:cs="Times New Roman"/>
        </w:rPr>
        <w:t>is</w:t>
      </w:r>
      <w:r w:rsidR="00B51F22">
        <w:rPr>
          <w:rFonts w:ascii="Times New Roman" w:hAnsi="Times New Roman" w:cs="Times New Roman"/>
        </w:rPr>
        <w:t xml:space="preserve"> (most but not all) tort victims of corporate activity.</w:t>
      </w:r>
      <w:r>
        <w:rPr>
          <w:rFonts w:ascii="Times New Roman" w:hAnsi="Times New Roman" w:cs="Times New Roman"/>
        </w:rPr>
        <w:t xml:space="preserve"> Indeed, the self-help remedies available to other classes of creditor may exacerbate the position of the non-adjusting creditors</w:t>
      </w:r>
      <w:r w:rsidR="009E3359">
        <w:rPr>
          <w:rFonts w:ascii="Times New Roman" w:hAnsi="Times New Roman" w:cs="Times New Roman"/>
        </w:rPr>
        <w:t>,</w:t>
      </w:r>
      <w:r w:rsidR="002166B2">
        <w:rPr>
          <w:rStyle w:val="ab"/>
          <w:rFonts w:ascii="Times New Roman" w:hAnsi="Times New Roman" w:cs="Times New Roman"/>
        </w:rPr>
        <w:footnoteReference w:id="27"/>
      </w:r>
      <w:r w:rsidR="009E3359">
        <w:rPr>
          <w:rFonts w:ascii="Times New Roman" w:hAnsi="Times New Roman" w:cs="Times New Roman"/>
        </w:rPr>
        <w:t xml:space="preserve"> as where those in a position to engage in self-help have already negotiated a preferential position in relation to the corporate assets.</w:t>
      </w:r>
      <w:r w:rsidR="00B51F22">
        <w:rPr>
          <w:rFonts w:ascii="Times New Roman" w:hAnsi="Times New Roman" w:cs="Times New Roman"/>
        </w:rPr>
        <w:t xml:space="preserve"> </w:t>
      </w:r>
      <w:r w:rsidR="009A7043">
        <w:rPr>
          <w:rFonts w:ascii="Times New Roman" w:hAnsi="Times New Roman" w:cs="Times New Roman"/>
        </w:rPr>
        <w:t>Perhaps in recognition of th</w:t>
      </w:r>
      <w:r w:rsidR="009E3359">
        <w:rPr>
          <w:rFonts w:ascii="Times New Roman" w:hAnsi="Times New Roman" w:cs="Times New Roman"/>
        </w:rPr>
        <w:t>ese</w:t>
      </w:r>
      <w:r w:rsidR="009A7043">
        <w:rPr>
          <w:rFonts w:ascii="Times New Roman" w:hAnsi="Times New Roman" w:cs="Times New Roman"/>
        </w:rPr>
        <w:t xml:space="preserve"> limitation</w:t>
      </w:r>
      <w:r w:rsidR="009E3359">
        <w:rPr>
          <w:rFonts w:ascii="Times New Roman" w:hAnsi="Times New Roman" w:cs="Times New Roman"/>
        </w:rPr>
        <w:t>s</w:t>
      </w:r>
      <w:r w:rsidR="009A7043">
        <w:rPr>
          <w:rFonts w:ascii="Times New Roman" w:hAnsi="Times New Roman" w:cs="Times New Roman"/>
        </w:rPr>
        <w:t xml:space="preserve"> – but also in acknowledgement that the risk of impecuniosity is not a unique feature of the limited liability company – the legislature has mandated insurance against the risks involved in </w:t>
      </w:r>
      <w:r w:rsidR="00430F40">
        <w:rPr>
          <w:rFonts w:ascii="Times New Roman" w:hAnsi="Times New Roman" w:cs="Times New Roman"/>
        </w:rPr>
        <w:t>dangerous</w:t>
      </w:r>
      <w:r w:rsidR="009A7043">
        <w:rPr>
          <w:rFonts w:ascii="Times New Roman" w:hAnsi="Times New Roman" w:cs="Times New Roman"/>
        </w:rPr>
        <w:t>, but valuable, societal activities, whether those engaging in them have or do not have limited liability. Examples are mandatory employers’ or occupiers’ liability insurance and for those driving motor vehicles on public roads.</w:t>
      </w:r>
      <w:r w:rsidR="009E3359">
        <w:rPr>
          <w:rFonts w:ascii="Times New Roman" w:hAnsi="Times New Roman" w:cs="Times New Roman"/>
        </w:rPr>
        <w:t xml:space="preserve"> But these are not comprehensive, even in economically advanced jurisdictions.</w:t>
      </w:r>
    </w:p>
    <w:p w14:paraId="2D88FE71" w14:textId="04397E5A" w:rsidR="00613919" w:rsidRDefault="0032223F" w:rsidP="00B71028">
      <w:pPr>
        <w:spacing w:line="276" w:lineRule="auto"/>
        <w:jc w:val="both"/>
        <w:rPr>
          <w:rFonts w:ascii="Times New Roman" w:hAnsi="Times New Roman" w:cs="Times New Roman"/>
        </w:rPr>
      </w:pPr>
      <w:r>
        <w:rPr>
          <w:rFonts w:ascii="Times New Roman" w:hAnsi="Times New Roman" w:cs="Times New Roman"/>
        </w:rPr>
        <w:t xml:space="preserve">As for groups, here the distinction between shareholder shielding and entity shielding breaks down. The </w:t>
      </w:r>
      <w:proofErr w:type="gramStart"/>
      <w:r>
        <w:rPr>
          <w:rFonts w:ascii="Times New Roman" w:hAnsi="Times New Roman" w:cs="Times New Roman"/>
        </w:rPr>
        <w:t>shareholder</w:t>
      </w:r>
      <w:proofErr w:type="gramEnd"/>
      <w:r>
        <w:rPr>
          <w:rFonts w:ascii="Times New Roman" w:hAnsi="Times New Roman" w:cs="Times New Roman"/>
        </w:rPr>
        <w:t xml:space="preserve"> which is shielded, typically the parent company, is itself an entity, with </w:t>
      </w:r>
      <w:r>
        <w:rPr>
          <w:rFonts w:ascii="Times New Roman" w:hAnsi="Times New Roman" w:cs="Times New Roman"/>
        </w:rPr>
        <w:lastRenderedPageBreak/>
        <w:t xml:space="preserve">a range of stakeholders invested in its continuance without serious disruption. At a policy level, </w:t>
      </w:r>
      <w:r w:rsidR="009810EF">
        <w:rPr>
          <w:rFonts w:ascii="Times New Roman" w:hAnsi="Times New Roman" w:cs="Times New Roman"/>
        </w:rPr>
        <w:t xml:space="preserve">there is disagreement in the literature about </w:t>
      </w:r>
      <w:r w:rsidR="0063601F">
        <w:rPr>
          <w:rFonts w:ascii="Times New Roman" w:hAnsi="Times New Roman" w:cs="Times New Roman"/>
        </w:rPr>
        <w:t xml:space="preserve">whether </w:t>
      </w:r>
      <w:r>
        <w:rPr>
          <w:rFonts w:ascii="Times New Roman" w:hAnsi="Times New Roman" w:cs="Times New Roman"/>
        </w:rPr>
        <w:t>the benefits of limited liability</w:t>
      </w:r>
      <w:r w:rsidR="009810EF">
        <w:rPr>
          <w:rFonts w:ascii="Times New Roman" w:hAnsi="Times New Roman" w:cs="Times New Roman"/>
        </w:rPr>
        <w:t xml:space="preserve"> are substantial </w:t>
      </w:r>
      <w:r w:rsidR="00B20187">
        <w:rPr>
          <w:rFonts w:ascii="Times New Roman" w:hAnsi="Times New Roman" w:cs="Times New Roman"/>
        </w:rPr>
        <w:t>within groups of companies, at least where the subsidiaries within the group are wholly owned</w:t>
      </w:r>
      <w:r w:rsidR="00B422A5">
        <w:rPr>
          <w:rFonts w:ascii="Times New Roman" w:hAnsi="Times New Roman" w:cs="Times New Roman"/>
        </w:rPr>
        <w:t>, directly or indirectly, by a parent company</w:t>
      </w:r>
      <w:r w:rsidR="00B20187">
        <w:rPr>
          <w:rFonts w:ascii="Times New Roman" w:hAnsi="Times New Roman" w:cs="Times New Roman"/>
        </w:rPr>
        <w:t>.</w:t>
      </w:r>
      <w:r w:rsidR="00B422A5">
        <w:rPr>
          <w:rFonts w:ascii="Times New Roman" w:hAnsi="Times New Roman" w:cs="Times New Roman"/>
        </w:rPr>
        <w:t xml:space="preserve"> </w:t>
      </w:r>
      <w:r w:rsidR="009810EF">
        <w:rPr>
          <w:rFonts w:ascii="Times New Roman" w:hAnsi="Times New Roman" w:cs="Times New Roman"/>
        </w:rPr>
        <w:t>The debate is important since group structures are pervasive in modern economies and not just at the level of publicly traded companies. Even medium-sized companies are likely to have acquired subsidiary enterprises along the way. One view is that t</w:t>
      </w:r>
      <w:r w:rsidR="00B422A5">
        <w:rPr>
          <w:rFonts w:ascii="Times New Roman" w:hAnsi="Times New Roman" w:cs="Times New Roman"/>
        </w:rPr>
        <w:t xml:space="preserve">he </w:t>
      </w:r>
      <w:r w:rsidR="0063601F">
        <w:rPr>
          <w:rFonts w:ascii="Times New Roman" w:hAnsi="Times New Roman" w:cs="Times New Roman"/>
        </w:rPr>
        <w:t xml:space="preserve">appropriate level of </w:t>
      </w:r>
      <w:r w:rsidR="00B422A5">
        <w:rPr>
          <w:rFonts w:ascii="Times New Roman" w:hAnsi="Times New Roman" w:cs="Times New Roman"/>
        </w:rPr>
        <w:t xml:space="preserve">incentive to entrepreneurship is already provided by the limited liability of the parent, whereas the other potential benefits of limited liability seem beside the point if the subsidiaries are not available for public investment or traded on a public market. </w:t>
      </w:r>
      <w:r w:rsidR="00A279B3">
        <w:rPr>
          <w:rFonts w:ascii="Times New Roman" w:hAnsi="Times New Roman" w:cs="Times New Roman"/>
        </w:rPr>
        <w:t xml:space="preserve">In addition, to apply limited liability within groups positively encourages the construction of group arrangements </w:t>
      </w:r>
      <w:proofErr w:type="gramStart"/>
      <w:r w:rsidR="00A279B3">
        <w:rPr>
          <w:rFonts w:ascii="Times New Roman" w:hAnsi="Times New Roman" w:cs="Times New Roman"/>
        </w:rPr>
        <w:t>so as to</w:t>
      </w:r>
      <w:proofErr w:type="gramEnd"/>
      <w:r w:rsidR="00A279B3">
        <w:rPr>
          <w:rFonts w:ascii="Times New Roman" w:hAnsi="Times New Roman" w:cs="Times New Roman"/>
        </w:rPr>
        <w:t xml:space="preserve"> facilitate the opportunistic shifting of risks. </w:t>
      </w:r>
      <w:r w:rsidR="009810EF">
        <w:rPr>
          <w:rFonts w:ascii="Times New Roman" w:hAnsi="Times New Roman" w:cs="Times New Roman"/>
        </w:rPr>
        <w:t>The alternative view is that entity shielding within groups encourages groups to engage in novel, but risky, activities by shielding the other group entities from the full forces of those risks</w:t>
      </w:r>
      <w:r w:rsidR="00BB1C9F">
        <w:rPr>
          <w:rFonts w:ascii="Times New Roman" w:hAnsi="Times New Roman" w:cs="Times New Roman"/>
        </w:rPr>
        <w:t>; and that this is socially beneficial</w:t>
      </w:r>
      <w:r w:rsidR="009810EF">
        <w:rPr>
          <w:rFonts w:ascii="Times New Roman" w:hAnsi="Times New Roman" w:cs="Times New Roman"/>
        </w:rPr>
        <w:t xml:space="preserve">. </w:t>
      </w:r>
      <w:r w:rsidR="0037651D">
        <w:rPr>
          <w:rFonts w:ascii="Times New Roman" w:hAnsi="Times New Roman" w:cs="Times New Roman"/>
        </w:rPr>
        <w:t xml:space="preserve">To be sure, the </w:t>
      </w:r>
      <w:r w:rsidR="0051211E">
        <w:rPr>
          <w:rFonts w:ascii="Times New Roman" w:hAnsi="Times New Roman" w:cs="Times New Roman"/>
        </w:rPr>
        <w:t xml:space="preserve">contractual </w:t>
      </w:r>
      <w:r w:rsidR="0037651D">
        <w:rPr>
          <w:rFonts w:ascii="Times New Roman" w:hAnsi="Times New Roman" w:cs="Times New Roman"/>
        </w:rPr>
        <w:t xml:space="preserve">self-help protections for well-informed creditors still operate in a group structure, such as the commonly used requirement for </w:t>
      </w:r>
      <w:r w:rsidR="0063601F">
        <w:rPr>
          <w:rFonts w:ascii="Times New Roman" w:hAnsi="Times New Roman" w:cs="Times New Roman"/>
        </w:rPr>
        <w:t>cross-</w:t>
      </w:r>
      <w:r w:rsidR="0037651D">
        <w:rPr>
          <w:rFonts w:ascii="Times New Roman" w:hAnsi="Times New Roman" w:cs="Times New Roman"/>
        </w:rPr>
        <w:t xml:space="preserve">guarantees from </w:t>
      </w:r>
      <w:r w:rsidR="00980DB0">
        <w:rPr>
          <w:rFonts w:ascii="Times New Roman" w:hAnsi="Times New Roman" w:cs="Times New Roman"/>
        </w:rPr>
        <w:t xml:space="preserve">a </w:t>
      </w:r>
      <w:r w:rsidR="0037651D">
        <w:rPr>
          <w:rFonts w:ascii="Times New Roman" w:hAnsi="Times New Roman" w:cs="Times New Roman"/>
        </w:rPr>
        <w:t xml:space="preserve">well-capitalised </w:t>
      </w:r>
      <w:r w:rsidR="00980DB0">
        <w:rPr>
          <w:rFonts w:ascii="Times New Roman" w:hAnsi="Times New Roman" w:cs="Times New Roman"/>
        </w:rPr>
        <w:t xml:space="preserve">group </w:t>
      </w:r>
      <w:r w:rsidR="0037651D">
        <w:rPr>
          <w:rFonts w:ascii="Times New Roman" w:hAnsi="Times New Roman" w:cs="Times New Roman"/>
        </w:rPr>
        <w:t>compan</w:t>
      </w:r>
      <w:r w:rsidR="00980DB0">
        <w:rPr>
          <w:rFonts w:ascii="Times New Roman" w:hAnsi="Times New Roman" w:cs="Times New Roman"/>
        </w:rPr>
        <w:t>y</w:t>
      </w:r>
      <w:r w:rsidR="0037651D">
        <w:rPr>
          <w:rFonts w:ascii="Times New Roman" w:hAnsi="Times New Roman" w:cs="Times New Roman"/>
        </w:rPr>
        <w:t xml:space="preserve"> in relation to the obligations of </w:t>
      </w:r>
      <w:r w:rsidR="00980DB0">
        <w:rPr>
          <w:rFonts w:ascii="Times New Roman" w:hAnsi="Times New Roman" w:cs="Times New Roman"/>
        </w:rPr>
        <w:t xml:space="preserve">a </w:t>
      </w:r>
      <w:r w:rsidR="0037651D">
        <w:rPr>
          <w:rFonts w:ascii="Times New Roman" w:hAnsi="Times New Roman" w:cs="Times New Roman"/>
        </w:rPr>
        <w:t>thinly capitalised one.</w:t>
      </w:r>
      <w:r w:rsidR="00794DEC">
        <w:rPr>
          <w:rFonts w:ascii="Times New Roman" w:hAnsi="Times New Roman" w:cs="Times New Roman"/>
        </w:rPr>
        <w:t xml:space="preserve"> But</w:t>
      </w:r>
      <w:r w:rsidR="00A279B3">
        <w:rPr>
          <w:rFonts w:ascii="Times New Roman" w:hAnsi="Times New Roman" w:cs="Times New Roman"/>
        </w:rPr>
        <w:t xml:space="preserve">, again, the self-help </w:t>
      </w:r>
      <w:r w:rsidR="00794DEC">
        <w:rPr>
          <w:rFonts w:ascii="Times New Roman" w:hAnsi="Times New Roman" w:cs="Times New Roman"/>
        </w:rPr>
        <w:t>protections will often not work</w:t>
      </w:r>
      <w:r w:rsidR="00A279B3">
        <w:rPr>
          <w:rFonts w:ascii="Times New Roman" w:hAnsi="Times New Roman" w:cs="Times New Roman"/>
        </w:rPr>
        <w:t xml:space="preserve"> for non-adjusting creditor</w:t>
      </w:r>
      <w:r w:rsidR="009E3359">
        <w:rPr>
          <w:rFonts w:ascii="Times New Roman" w:hAnsi="Times New Roman" w:cs="Times New Roman"/>
        </w:rPr>
        <w:t>s</w:t>
      </w:r>
      <w:r w:rsidR="00A279B3">
        <w:rPr>
          <w:rFonts w:ascii="Times New Roman" w:hAnsi="Times New Roman" w:cs="Times New Roman"/>
        </w:rPr>
        <w:t xml:space="preserve">. </w:t>
      </w:r>
    </w:p>
    <w:p w14:paraId="5AC4BD47" w14:textId="647D4844" w:rsidR="00D623B9" w:rsidRDefault="00613919" w:rsidP="00B71028">
      <w:pPr>
        <w:spacing w:line="276" w:lineRule="auto"/>
        <w:jc w:val="both"/>
        <w:rPr>
          <w:rFonts w:ascii="Times New Roman" w:hAnsi="Times New Roman" w:cs="Times New Roman"/>
        </w:rPr>
      </w:pPr>
      <w:r>
        <w:rPr>
          <w:rFonts w:ascii="Times New Roman" w:hAnsi="Times New Roman" w:cs="Times New Roman"/>
        </w:rPr>
        <w:t>So, at last</w:t>
      </w:r>
      <w:r w:rsidR="00366489">
        <w:rPr>
          <w:rFonts w:ascii="Times New Roman" w:hAnsi="Times New Roman" w:cs="Times New Roman"/>
        </w:rPr>
        <w:t>,</w:t>
      </w:r>
      <w:r>
        <w:rPr>
          <w:rFonts w:ascii="Times New Roman" w:hAnsi="Times New Roman" w:cs="Times New Roman"/>
        </w:rPr>
        <w:t xml:space="preserve"> we reach </w:t>
      </w:r>
      <w:r>
        <w:rPr>
          <w:rFonts w:ascii="Times New Roman" w:hAnsi="Times New Roman" w:cs="Times New Roman"/>
          <w:i/>
          <w:iCs/>
        </w:rPr>
        <w:t>Adam v Cape Industries plc</w:t>
      </w:r>
      <w:r>
        <w:rPr>
          <w:rFonts w:ascii="Times New Roman" w:hAnsi="Times New Roman" w:cs="Times New Roman"/>
        </w:rPr>
        <w:t>.</w:t>
      </w:r>
      <w:r w:rsidR="00794DEC">
        <w:rPr>
          <w:rFonts w:ascii="Times New Roman" w:hAnsi="Times New Roman" w:cs="Times New Roman"/>
        </w:rPr>
        <w:t xml:space="preserve"> </w:t>
      </w:r>
      <w:r w:rsidR="00366489">
        <w:rPr>
          <w:rFonts w:ascii="Times New Roman" w:hAnsi="Times New Roman" w:cs="Times New Roman"/>
        </w:rPr>
        <w:t xml:space="preserve">The facts of this case sharply </w:t>
      </w:r>
      <w:r w:rsidR="009E3359">
        <w:rPr>
          <w:rFonts w:ascii="Times New Roman" w:hAnsi="Times New Roman" w:cs="Times New Roman"/>
        </w:rPr>
        <w:t xml:space="preserve">focus our attention on the position of those who are exposed to opportunistic use of group structures against which they are in a poor position to protect themselves. The case concerned </w:t>
      </w:r>
      <w:r>
        <w:rPr>
          <w:rFonts w:ascii="Times New Roman" w:hAnsi="Times New Roman" w:cs="Times New Roman"/>
        </w:rPr>
        <w:t>a claim by tort victims</w:t>
      </w:r>
      <w:r w:rsidR="00366489">
        <w:rPr>
          <w:rFonts w:ascii="Times New Roman" w:hAnsi="Times New Roman" w:cs="Times New Roman"/>
        </w:rPr>
        <w:t xml:space="preserve"> and the claim</w:t>
      </w:r>
      <w:r>
        <w:rPr>
          <w:rFonts w:ascii="Times New Roman" w:hAnsi="Times New Roman" w:cs="Times New Roman"/>
        </w:rPr>
        <w:t xml:space="preserve">, initially, </w:t>
      </w:r>
      <w:r w:rsidR="00366489">
        <w:rPr>
          <w:rFonts w:ascii="Times New Roman" w:hAnsi="Times New Roman" w:cs="Times New Roman"/>
        </w:rPr>
        <w:t>lay</w:t>
      </w:r>
      <w:r>
        <w:rPr>
          <w:rFonts w:ascii="Times New Roman" w:hAnsi="Times New Roman" w:cs="Times New Roman"/>
        </w:rPr>
        <w:t xml:space="preserve"> against a subsidiary of a multinational group</w:t>
      </w:r>
      <w:r w:rsidR="00366489">
        <w:rPr>
          <w:rFonts w:ascii="Times New Roman" w:hAnsi="Times New Roman" w:cs="Times New Roman"/>
        </w:rPr>
        <w:t xml:space="preserve"> whose parent the claimants sought to make liable of the subsidiary’s obligations</w:t>
      </w:r>
      <w:r>
        <w:rPr>
          <w:rFonts w:ascii="Times New Roman" w:hAnsi="Times New Roman" w:cs="Times New Roman"/>
        </w:rPr>
        <w:t xml:space="preserve">. The </w:t>
      </w:r>
      <w:r w:rsidR="00891879">
        <w:rPr>
          <w:rFonts w:ascii="Times New Roman" w:hAnsi="Times New Roman" w:cs="Times New Roman"/>
        </w:rPr>
        <w:t xml:space="preserve">judge at first instance (Scott J – later a Lord of Appeal in Ordinary) and a commercially strong </w:t>
      </w:r>
      <w:r>
        <w:rPr>
          <w:rFonts w:ascii="Times New Roman" w:hAnsi="Times New Roman" w:cs="Times New Roman"/>
        </w:rPr>
        <w:t xml:space="preserve">Court of Appeal </w:t>
      </w:r>
      <w:r w:rsidR="00891879">
        <w:rPr>
          <w:rFonts w:ascii="Times New Roman" w:hAnsi="Times New Roman" w:cs="Times New Roman"/>
        </w:rPr>
        <w:t xml:space="preserve">(Slade, Mustill and Ralph Gibson LJJ) </w:t>
      </w:r>
      <w:r>
        <w:rPr>
          <w:rFonts w:ascii="Times New Roman" w:hAnsi="Times New Roman" w:cs="Times New Roman"/>
        </w:rPr>
        <w:t xml:space="preserve">resoundingly rejected the claim. </w:t>
      </w:r>
    </w:p>
    <w:p w14:paraId="7E38C7A7" w14:textId="77777777" w:rsidR="00CE7575" w:rsidRDefault="00CE7575" w:rsidP="00B71028">
      <w:pPr>
        <w:spacing w:line="276" w:lineRule="auto"/>
        <w:jc w:val="both"/>
        <w:rPr>
          <w:rFonts w:ascii="Times New Roman" w:hAnsi="Times New Roman" w:cs="Times New Roman"/>
        </w:rPr>
      </w:pPr>
    </w:p>
    <w:p w14:paraId="19DABB59" w14:textId="070708C2" w:rsidR="00CE7575" w:rsidRDefault="00CE7575" w:rsidP="00B71028">
      <w:pPr>
        <w:pStyle w:val="a6"/>
        <w:numPr>
          <w:ilvl w:val="0"/>
          <w:numId w:val="1"/>
        </w:numPr>
        <w:spacing w:line="276" w:lineRule="auto"/>
        <w:jc w:val="both"/>
        <w:rPr>
          <w:rFonts w:ascii="Times New Roman" w:hAnsi="Times New Roman" w:cs="Times New Roman"/>
          <w:b/>
          <w:bCs/>
        </w:rPr>
      </w:pPr>
      <w:r>
        <w:rPr>
          <w:rFonts w:ascii="Times New Roman" w:hAnsi="Times New Roman" w:cs="Times New Roman"/>
          <w:b/>
          <w:bCs/>
        </w:rPr>
        <w:t xml:space="preserve">The Decisions in Adams v Cape Industries plc </w:t>
      </w:r>
    </w:p>
    <w:p w14:paraId="44974F01" w14:textId="77777777" w:rsidR="00151969" w:rsidRDefault="00151969" w:rsidP="00B71028">
      <w:pPr>
        <w:pStyle w:val="a6"/>
        <w:spacing w:line="276" w:lineRule="auto"/>
        <w:jc w:val="both"/>
        <w:rPr>
          <w:rFonts w:ascii="Times New Roman" w:hAnsi="Times New Roman" w:cs="Times New Roman"/>
          <w:b/>
          <w:bCs/>
        </w:rPr>
      </w:pPr>
    </w:p>
    <w:p w14:paraId="6A20B8F1" w14:textId="77777777" w:rsidR="00151969" w:rsidRPr="00151969" w:rsidRDefault="00151969" w:rsidP="00B71028">
      <w:pPr>
        <w:pStyle w:val="a6"/>
        <w:numPr>
          <w:ilvl w:val="0"/>
          <w:numId w:val="3"/>
        </w:numPr>
        <w:spacing w:line="276" w:lineRule="auto"/>
        <w:jc w:val="both"/>
        <w:rPr>
          <w:rFonts w:ascii="Times New Roman" w:hAnsi="Times New Roman" w:cs="Times New Roman"/>
        </w:rPr>
      </w:pPr>
      <w:r>
        <w:rPr>
          <w:rFonts w:ascii="Times New Roman" w:hAnsi="Times New Roman" w:cs="Times New Roman"/>
          <w:i/>
          <w:iCs/>
        </w:rPr>
        <w:t>Background</w:t>
      </w:r>
    </w:p>
    <w:p w14:paraId="3F4A1896" w14:textId="6428F169" w:rsidR="00CE7575" w:rsidRPr="00151969" w:rsidRDefault="00CE7575" w:rsidP="00B71028">
      <w:pPr>
        <w:spacing w:line="276" w:lineRule="auto"/>
        <w:jc w:val="both"/>
        <w:rPr>
          <w:rFonts w:ascii="Times New Roman" w:hAnsi="Times New Roman" w:cs="Times New Roman"/>
        </w:rPr>
      </w:pPr>
      <w:r w:rsidRPr="00151969">
        <w:rPr>
          <w:rFonts w:ascii="Times New Roman" w:hAnsi="Times New Roman" w:cs="Times New Roman"/>
        </w:rPr>
        <w:t xml:space="preserve">Cape Industries plc, an English company, sat at the head of a multinational group of companies, with multiple, direct and indirect, wholly owned subsidiaries. The division of the group concerned in the litigation was engaged over a long period of time in the mining and distribution of asbestos. In the </w:t>
      </w:r>
      <w:r w:rsidR="00913203">
        <w:rPr>
          <w:rFonts w:ascii="Times New Roman" w:hAnsi="Times New Roman" w:cs="Times New Roman"/>
        </w:rPr>
        <w:t xml:space="preserve">first part of the </w:t>
      </w:r>
      <w:r w:rsidR="00FC6693" w:rsidRPr="00151969">
        <w:rPr>
          <w:rFonts w:ascii="Times New Roman" w:hAnsi="Times New Roman" w:cs="Times New Roman"/>
        </w:rPr>
        <w:t>last century</w:t>
      </w:r>
      <w:r w:rsidRPr="00151969">
        <w:rPr>
          <w:rFonts w:ascii="Times New Roman" w:hAnsi="Times New Roman" w:cs="Times New Roman"/>
        </w:rPr>
        <w:t>, asbestos was regarded as a wonder material, being light</w:t>
      </w:r>
      <w:r w:rsidR="00FC6693" w:rsidRPr="00151969">
        <w:rPr>
          <w:rFonts w:ascii="Times New Roman" w:hAnsi="Times New Roman" w:cs="Times New Roman"/>
        </w:rPr>
        <w:t>,</w:t>
      </w:r>
      <w:r w:rsidRPr="00151969">
        <w:rPr>
          <w:rFonts w:ascii="Times New Roman" w:hAnsi="Times New Roman" w:cs="Times New Roman"/>
        </w:rPr>
        <w:t xml:space="preserve"> highly fire resistant</w:t>
      </w:r>
      <w:r w:rsidR="00FC6693" w:rsidRPr="00151969">
        <w:rPr>
          <w:rFonts w:ascii="Times New Roman" w:hAnsi="Times New Roman" w:cs="Times New Roman"/>
        </w:rPr>
        <w:t xml:space="preserve"> and a good electrical insulator</w:t>
      </w:r>
      <w:r w:rsidRPr="00151969">
        <w:rPr>
          <w:rFonts w:ascii="Times New Roman" w:hAnsi="Times New Roman" w:cs="Times New Roman"/>
        </w:rPr>
        <w:t xml:space="preserve">. </w:t>
      </w:r>
      <w:r w:rsidR="00817C8F" w:rsidRPr="00151969">
        <w:rPr>
          <w:rFonts w:ascii="Times New Roman" w:hAnsi="Times New Roman" w:cs="Times New Roman"/>
        </w:rPr>
        <w:t>However, from the 1930s onwards</w:t>
      </w:r>
      <w:r w:rsidRPr="00151969">
        <w:rPr>
          <w:rFonts w:ascii="Times New Roman" w:hAnsi="Times New Roman" w:cs="Times New Roman"/>
        </w:rPr>
        <w:t xml:space="preserve"> evidence began to emerge that it represented a very serious threat to the health of those who had to work with it. The dust released when the material was shaped or otherwise broken contained fibres which might lodge in the lung and, usually many years later, result in a painful and debilitating condition – asbestosis. </w:t>
      </w:r>
      <w:r w:rsidR="00817C8F" w:rsidRPr="00151969">
        <w:rPr>
          <w:rFonts w:ascii="Times New Roman" w:hAnsi="Times New Roman" w:cs="Times New Roman"/>
        </w:rPr>
        <w:t xml:space="preserve">By the 1980s its use had been phased out in many countries. </w:t>
      </w:r>
      <w:r w:rsidRPr="00151969">
        <w:rPr>
          <w:rFonts w:ascii="Times New Roman" w:hAnsi="Times New Roman" w:cs="Times New Roman"/>
        </w:rPr>
        <w:t xml:space="preserve">The story was </w:t>
      </w:r>
      <w:r w:rsidR="00817C8F" w:rsidRPr="00151969">
        <w:rPr>
          <w:rFonts w:ascii="Times New Roman" w:hAnsi="Times New Roman" w:cs="Times New Roman"/>
        </w:rPr>
        <w:t xml:space="preserve">not </w:t>
      </w:r>
      <w:r w:rsidRPr="00151969">
        <w:rPr>
          <w:rFonts w:ascii="Times New Roman" w:hAnsi="Times New Roman" w:cs="Times New Roman"/>
        </w:rPr>
        <w:t xml:space="preserve">dissimilar </w:t>
      </w:r>
      <w:r w:rsidR="00817C8F" w:rsidRPr="00151969">
        <w:rPr>
          <w:rFonts w:ascii="Times New Roman" w:hAnsi="Times New Roman" w:cs="Times New Roman"/>
        </w:rPr>
        <w:t>to</w:t>
      </w:r>
      <w:r w:rsidRPr="00151969">
        <w:rPr>
          <w:rFonts w:ascii="Times New Roman" w:hAnsi="Times New Roman" w:cs="Times New Roman"/>
        </w:rPr>
        <w:t xml:space="preserve"> the one associated with coal dust and the development of </w:t>
      </w:r>
      <w:r w:rsidR="00254311" w:rsidRPr="00151969">
        <w:rPr>
          <w:rFonts w:ascii="Times New Roman" w:hAnsi="Times New Roman" w:cs="Times New Roman"/>
        </w:rPr>
        <w:t>pneumoconiosis</w:t>
      </w:r>
      <w:r w:rsidRPr="00151969">
        <w:rPr>
          <w:rFonts w:ascii="Times New Roman" w:hAnsi="Times New Roman" w:cs="Times New Roman"/>
        </w:rPr>
        <w:t xml:space="preserve">. </w:t>
      </w:r>
    </w:p>
    <w:p w14:paraId="47472659" w14:textId="15F2E370" w:rsidR="00236615" w:rsidRDefault="00FC6693" w:rsidP="00B71028">
      <w:pPr>
        <w:spacing w:line="276" w:lineRule="auto"/>
        <w:jc w:val="both"/>
        <w:rPr>
          <w:rFonts w:ascii="Times New Roman" w:hAnsi="Times New Roman" w:cs="Times New Roman"/>
        </w:rPr>
      </w:pPr>
      <w:r>
        <w:rPr>
          <w:rFonts w:ascii="Times New Roman" w:hAnsi="Times New Roman" w:cs="Times New Roman"/>
        </w:rPr>
        <w:lastRenderedPageBreak/>
        <w:t>Despite the clarity of the courts’ views on separate legal personality</w:t>
      </w:r>
      <w:r w:rsidR="008B4012">
        <w:rPr>
          <w:rFonts w:ascii="Times New Roman" w:hAnsi="Times New Roman" w:cs="Times New Roman"/>
        </w:rPr>
        <w:t xml:space="preserve"> in the </w:t>
      </w:r>
      <w:r w:rsidR="008B4012">
        <w:rPr>
          <w:rFonts w:ascii="Times New Roman" w:hAnsi="Times New Roman" w:cs="Times New Roman"/>
          <w:i/>
          <w:iCs/>
        </w:rPr>
        <w:t xml:space="preserve">Adams </w:t>
      </w:r>
      <w:r w:rsidR="008B4012">
        <w:rPr>
          <w:rFonts w:ascii="Times New Roman" w:hAnsi="Times New Roman" w:cs="Times New Roman"/>
        </w:rPr>
        <w:t>case</w:t>
      </w:r>
      <w:r>
        <w:rPr>
          <w:rFonts w:ascii="Times New Roman" w:hAnsi="Times New Roman" w:cs="Times New Roman"/>
        </w:rPr>
        <w:t>, the facts of the case are somewhat complex, since the presenting issue for the English courts was whether those court</w:t>
      </w:r>
      <w:r w:rsidR="00913203">
        <w:rPr>
          <w:rFonts w:ascii="Times New Roman" w:hAnsi="Times New Roman" w:cs="Times New Roman"/>
        </w:rPr>
        <w:t>s</w:t>
      </w:r>
      <w:r>
        <w:rPr>
          <w:rFonts w:ascii="Times New Roman" w:hAnsi="Times New Roman" w:cs="Times New Roman"/>
        </w:rPr>
        <w:t xml:space="preserve"> should enforce a default judgment given by a Texas court against Cape plc</w:t>
      </w:r>
      <w:r w:rsidR="000E588F">
        <w:rPr>
          <w:rFonts w:ascii="Times New Roman" w:hAnsi="Times New Roman" w:cs="Times New Roman"/>
        </w:rPr>
        <w:t>.</w:t>
      </w:r>
      <w:r w:rsidR="000E588F">
        <w:rPr>
          <w:rStyle w:val="ab"/>
          <w:rFonts w:ascii="Times New Roman" w:hAnsi="Times New Roman" w:cs="Times New Roman"/>
        </w:rPr>
        <w:footnoteReference w:id="28"/>
      </w:r>
      <w:r>
        <w:rPr>
          <w:rFonts w:ascii="Times New Roman" w:hAnsi="Times New Roman" w:cs="Times New Roman"/>
        </w:rPr>
        <w:t xml:space="preserve"> </w:t>
      </w:r>
      <w:r w:rsidR="00FB6F98">
        <w:rPr>
          <w:rFonts w:ascii="Times New Roman" w:hAnsi="Times New Roman" w:cs="Times New Roman"/>
        </w:rPr>
        <w:t xml:space="preserve">In other words, in conventional legal classification, this case raised an issue of conflict of laws. Enforcement of a foreign judgment </w:t>
      </w:r>
      <w:r w:rsidR="000E588F">
        <w:rPr>
          <w:rFonts w:ascii="Times New Roman" w:hAnsi="Times New Roman" w:cs="Times New Roman"/>
        </w:rPr>
        <w:t>normally occur</w:t>
      </w:r>
      <w:r w:rsidR="00FB6F98">
        <w:rPr>
          <w:rFonts w:ascii="Times New Roman" w:hAnsi="Times New Roman" w:cs="Times New Roman"/>
        </w:rPr>
        <w:t>s</w:t>
      </w:r>
      <w:r w:rsidR="000E588F">
        <w:rPr>
          <w:rFonts w:ascii="Times New Roman" w:hAnsi="Times New Roman" w:cs="Times New Roman"/>
        </w:rPr>
        <w:t xml:space="preserve"> without the English court examining the merits of the foreign judgment, provided that </w:t>
      </w:r>
      <w:r w:rsidR="000E588F">
        <w:rPr>
          <w:rFonts w:ascii="Times New Roman" w:hAnsi="Times New Roman" w:cs="Times New Roman"/>
          <w:i/>
          <w:iCs/>
        </w:rPr>
        <w:t xml:space="preserve">English </w:t>
      </w:r>
      <w:r w:rsidR="000E588F">
        <w:rPr>
          <w:rFonts w:ascii="Times New Roman" w:hAnsi="Times New Roman" w:cs="Times New Roman"/>
        </w:rPr>
        <w:t>law recognise</w:t>
      </w:r>
      <w:r w:rsidR="00FB6F98">
        <w:rPr>
          <w:rFonts w:ascii="Times New Roman" w:hAnsi="Times New Roman" w:cs="Times New Roman"/>
        </w:rPr>
        <w:t>s</w:t>
      </w:r>
      <w:r w:rsidR="000E588F">
        <w:rPr>
          <w:rFonts w:ascii="Times New Roman" w:hAnsi="Times New Roman" w:cs="Times New Roman"/>
        </w:rPr>
        <w:t xml:space="preserve"> the foreign court as having jurisdiction over the defendants. The English law test for jurisdiction </w:t>
      </w:r>
      <w:r w:rsidR="00FB6F98">
        <w:rPr>
          <w:rFonts w:ascii="Times New Roman" w:hAnsi="Times New Roman" w:cs="Times New Roman"/>
        </w:rPr>
        <w:t>i</w:t>
      </w:r>
      <w:r w:rsidR="000E588F">
        <w:rPr>
          <w:rFonts w:ascii="Times New Roman" w:hAnsi="Times New Roman" w:cs="Times New Roman"/>
        </w:rPr>
        <w:t>s a territorial one and, specifically</w:t>
      </w:r>
      <w:r w:rsidR="00FB6F98">
        <w:rPr>
          <w:rFonts w:ascii="Times New Roman" w:hAnsi="Times New Roman" w:cs="Times New Roman"/>
        </w:rPr>
        <w:t xml:space="preserve"> in this case</w:t>
      </w:r>
      <w:r w:rsidR="000E588F">
        <w:rPr>
          <w:rFonts w:ascii="Times New Roman" w:hAnsi="Times New Roman" w:cs="Times New Roman"/>
        </w:rPr>
        <w:t xml:space="preserve">, whether Cape plc, the parent, could be said to </w:t>
      </w:r>
      <w:r w:rsidR="00FB6F98">
        <w:rPr>
          <w:rFonts w:ascii="Times New Roman" w:hAnsi="Times New Roman" w:cs="Times New Roman"/>
        </w:rPr>
        <w:t xml:space="preserve">have </w:t>
      </w:r>
      <w:r w:rsidR="000E588F">
        <w:rPr>
          <w:rFonts w:ascii="Times New Roman" w:hAnsi="Times New Roman" w:cs="Times New Roman"/>
        </w:rPr>
        <w:t>be</w:t>
      </w:r>
      <w:r w:rsidR="00FB6F98">
        <w:rPr>
          <w:rFonts w:ascii="Times New Roman" w:hAnsi="Times New Roman" w:cs="Times New Roman"/>
        </w:rPr>
        <w:t>en</w:t>
      </w:r>
      <w:r w:rsidR="000E588F">
        <w:rPr>
          <w:rFonts w:ascii="Times New Roman" w:hAnsi="Times New Roman" w:cs="Times New Roman"/>
        </w:rPr>
        <w:t xml:space="preserve"> “present” in the United States</w:t>
      </w:r>
      <w:r w:rsidR="00FB6F98">
        <w:rPr>
          <w:rFonts w:ascii="Times New Roman" w:hAnsi="Times New Roman" w:cs="Times New Roman"/>
        </w:rPr>
        <w:t xml:space="preserve"> at the relevant times</w:t>
      </w:r>
      <w:r w:rsidR="000E588F">
        <w:rPr>
          <w:rFonts w:ascii="Times New Roman" w:hAnsi="Times New Roman" w:cs="Times New Roman"/>
        </w:rPr>
        <w:t>.</w:t>
      </w:r>
      <w:r w:rsidR="00AA1A05">
        <w:rPr>
          <w:rStyle w:val="ab"/>
          <w:rFonts w:ascii="Times New Roman" w:hAnsi="Times New Roman" w:cs="Times New Roman"/>
        </w:rPr>
        <w:footnoteReference w:id="29"/>
      </w:r>
      <w:r w:rsidR="000E588F">
        <w:rPr>
          <w:rFonts w:ascii="Times New Roman" w:hAnsi="Times New Roman" w:cs="Times New Roman"/>
        </w:rPr>
        <w:t xml:space="preserve"> </w:t>
      </w:r>
      <w:r w:rsidR="00236615">
        <w:rPr>
          <w:rFonts w:ascii="Times New Roman" w:hAnsi="Times New Roman" w:cs="Times New Roman"/>
        </w:rPr>
        <w:t xml:space="preserve">The Court of Appeal, after detailed consideration of the case-law on presence, </w:t>
      </w:r>
      <w:r w:rsidR="00913203">
        <w:rPr>
          <w:rFonts w:ascii="Times New Roman" w:hAnsi="Times New Roman" w:cs="Times New Roman"/>
        </w:rPr>
        <w:t>concluded that the relevant English law test was as follows:</w:t>
      </w:r>
      <w:r w:rsidR="00236615">
        <w:rPr>
          <w:rStyle w:val="ab"/>
          <w:rFonts w:ascii="Times New Roman" w:hAnsi="Times New Roman" w:cs="Times New Roman"/>
        </w:rPr>
        <w:footnoteReference w:id="30"/>
      </w:r>
    </w:p>
    <w:p w14:paraId="2CE9EEE9" w14:textId="6C09479A" w:rsidR="00236615" w:rsidRDefault="00236615" w:rsidP="00B71028">
      <w:pPr>
        <w:spacing w:line="276" w:lineRule="auto"/>
        <w:ind w:left="283" w:right="283"/>
        <w:jc w:val="both"/>
        <w:rPr>
          <w:rFonts w:ascii="Times New Roman" w:hAnsi="Times New Roman" w:cs="Times New Roman"/>
        </w:rPr>
      </w:pPr>
      <w:r w:rsidRPr="00236615">
        <w:rPr>
          <w:rFonts w:ascii="Times New Roman" w:hAnsi="Times New Roman" w:cs="Times New Roman"/>
        </w:rPr>
        <w:t>"</w:t>
      </w:r>
      <w:r w:rsidR="00913203" w:rsidRPr="00913203">
        <w:rPr>
          <w:rFonts w:ascii="Times New Roman" w:hAnsi="Times New Roman" w:cs="Times New Roman"/>
        </w:rPr>
        <w:t>The English courts will be likely to treat a trading corporation incorporated under the law of one country ("an overseas corporation") as present within the jurisdiction of the courts of another country</w:t>
      </w:r>
      <w:r w:rsidR="00913203">
        <w:rPr>
          <w:rFonts w:ascii="Times New Roman" w:hAnsi="Times New Roman" w:cs="Times New Roman"/>
        </w:rPr>
        <w:t xml:space="preserve"> </w:t>
      </w:r>
      <w:r w:rsidR="00913203" w:rsidRPr="00913203">
        <w:rPr>
          <w:rFonts w:ascii="Times New Roman" w:hAnsi="Times New Roman" w:cs="Times New Roman"/>
        </w:rPr>
        <w:t>only if either (</w:t>
      </w:r>
      <w:proofErr w:type="spellStart"/>
      <w:r w:rsidR="00913203" w:rsidRPr="00913203">
        <w:rPr>
          <w:rFonts w:ascii="Times New Roman" w:hAnsi="Times New Roman" w:cs="Times New Roman"/>
        </w:rPr>
        <w:t>i</w:t>
      </w:r>
      <w:proofErr w:type="spellEnd"/>
      <w:r w:rsidR="00913203" w:rsidRPr="00913203">
        <w:rPr>
          <w:rFonts w:ascii="Times New Roman" w:hAnsi="Times New Roman" w:cs="Times New Roman"/>
        </w:rPr>
        <w:t>) it has established and maintained at its own expense (whether as owner or lessee) a fixed place of business of its own in the other country and for more than a minimal period of time has carried on</w:t>
      </w:r>
      <w:r w:rsidR="00FB6F98">
        <w:rPr>
          <w:rFonts w:ascii="Times New Roman" w:hAnsi="Times New Roman" w:cs="Times New Roman"/>
        </w:rPr>
        <w:t xml:space="preserve"> </w:t>
      </w:r>
      <w:r w:rsidR="00913203" w:rsidRPr="00913203">
        <w:rPr>
          <w:rFonts w:ascii="Times New Roman" w:hAnsi="Times New Roman" w:cs="Times New Roman"/>
        </w:rPr>
        <w:t xml:space="preserve">its own business at or from such premises by its servants or agents (a "branch oﬀice" case), or (ii) </w:t>
      </w:r>
      <w:r w:rsidR="00FB6F98">
        <w:rPr>
          <w:rFonts w:ascii="Times New Roman" w:hAnsi="Times New Roman" w:cs="Times New Roman"/>
        </w:rPr>
        <w:t xml:space="preserve">a </w:t>
      </w:r>
      <w:r w:rsidR="00913203" w:rsidRPr="00913203">
        <w:rPr>
          <w:rFonts w:ascii="Times New Roman" w:hAnsi="Times New Roman" w:cs="Times New Roman"/>
        </w:rPr>
        <w:t>representative of the overseas corporation has for more than a minimal period of time been carrying on the overseas corporation's business in the other country at or from some fixed place of business.</w:t>
      </w:r>
      <w:r w:rsidRPr="00236615">
        <w:rPr>
          <w:rFonts w:ascii="Times New Roman" w:hAnsi="Times New Roman" w:cs="Times New Roman"/>
        </w:rPr>
        <w:t>"</w:t>
      </w:r>
    </w:p>
    <w:p w14:paraId="07040948" w14:textId="78FC0832" w:rsidR="00B90922" w:rsidRDefault="000E588F" w:rsidP="00B71028">
      <w:pPr>
        <w:spacing w:line="276" w:lineRule="auto"/>
        <w:jc w:val="both"/>
        <w:rPr>
          <w:rFonts w:ascii="Times New Roman" w:hAnsi="Times New Roman" w:cs="Times New Roman"/>
        </w:rPr>
      </w:pPr>
      <w:r>
        <w:rPr>
          <w:rFonts w:ascii="Times New Roman" w:hAnsi="Times New Roman" w:cs="Times New Roman"/>
        </w:rPr>
        <w:t xml:space="preserve">Consequently, the corporate structure of the Cape group </w:t>
      </w:r>
      <w:r w:rsidR="00985FBF">
        <w:rPr>
          <w:rFonts w:ascii="Times New Roman" w:hAnsi="Times New Roman" w:cs="Times New Roman"/>
        </w:rPr>
        <w:t xml:space="preserve">and the relationships among the members of that group </w:t>
      </w:r>
      <w:r>
        <w:rPr>
          <w:rFonts w:ascii="Times New Roman" w:hAnsi="Times New Roman" w:cs="Times New Roman"/>
        </w:rPr>
        <w:t xml:space="preserve">became central to the </w:t>
      </w:r>
      <w:r w:rsidR="006444C4">
        <w:rPr>
          <w:rFonts w:ascii="Times New Roman" w:hAnsi="Times New Roman" w:cs="Times New Roman"/>
        </w:rPr>
        <w:t xml:space="preserve">English decision, since Cape plc itself </w:t>
      </w:r>
      <w:r w:rsidR="00B90922">
        <w:rPr>
          <w:rFonts w:ascii="Times New Roman" w:hAnsi="Times New Roman" w:cs="Times New Roman"/>
        </w:rPr>
        <w:t>did</w:t>
      </w:r>
      <w:r w:rsidR="006444C4">
        <w:rPr>
          <w:rFonts w:ascii="Times New Roman" w:hAnsi="Times New Roman" w:cs="Times New Roman"/>
        </w:rPr>
        <w:t xml:space="preserve"> not carry on any business in the US, but </w:t>
      </w:r>
      <w:r w:rsidR="00B90922">
        <w:rPr>
          <w:rFonts w:ascii="Times New Roman" w:hAnsi="Times New Roman" w:cs="Times New Roman"/>
        </w:rPr>
        <w:t xml:space="preserve">operated </w:t>
      </w:r>
      <w:r w:rsidR="006444C4">
        <w:rPr>
          <w:rFonts w:ascii="Times New Roman" w:hAnsi="Times New Roman" w:cs="Times New Roman"/>
        </w:rPr>
        <w:t xml:space="preserve">only via subsidiaries or associated companies. </w:t>
      </w:r>
      <w:r w:rsidR="008B4012">
        <w:rPr>
          <w:rFonts w:ascii="Times New Roman" w:hAnsi="Times New Roman" w:cs="Times New Roman"/>
        </w:rPr>
        <w:t xml:space="preserve">Did these relationships mean that Cape plc could be said to be “present” in the United States? Or did the separate legal personality of Cape plc and the other group companies stand in the way of this analysis? </w:t>
      </w:r>
      <w:r w:rsidR="00B90922">
        <w:rPr>
          <w:rFonts w:ascii="Times New Roman" w:hAnsi="Times New Roman" w:cs="Times New Roman"/>
        </w:rPr>
        <w:t xml:space="preserve">A further complication was that Cape changed its corporate structure in the United States </w:t>
      </w:r>
      <w:r w:rsidR="00985FBF">
        <w:rPr>
          <w:rFonts w:ascii="Times New Roman" w:hAnsi="Times New Roman" w:cs="Times New Roman"/>
        </w:rPr>
        <w:t xml:space="preserve">shortly </w:t>
      </w:r>
      <w:r w:rsidR="00B90922">
        <w:rPr>
          <w:rFonts w:ascii="Times New Roman" w:hAnsi="Times New Roman" w:cs="Times New Roman"/>
        </w:rPr>
        <w:t xml:space="preserve">prior to the court hearing in which the default judgement </w:t>
      </w:r>
      <w:r w:rsidR="00985FBF">
        <w:rPr>
          <w:rFonts w:ascii="Times New Roman" w:hAnsi="Times New Roman" w:cs="Times New Roman"/>
        </w:rPr>
        <w:t>was</w:t>
      </w:r>
      <w:r w:rsidR="00B90922">
        <w:rPr>
          <w:rFonts w:ascii="Times New Roman" w:hAnsi="Times New Roman" w:cs="Times New Roman"/>
        </w:rPr>
        <w:t xml:space="preserve"> issued.  </w:t>
      </w:r>
    </w:p>
    <w:p w14:paraId="569E0E78" w14:textId="5881B7D4" w:rsidR="00B90922" w:rsidRDefault="00B90922" w:rsidP="00B71028">
      <w:pPr>
        <w:spacing w:line="276" w:lineRule="auto"/>
        <w:jc w:val="both"/>
        <w:rPr>
          <w:rFonts w:ascii="Times New Roman" w:hAnsi="Times New Roman" w:cs="Times New Roman"/>
        </w:rPr>
      </w:pPr>
      <w:r>
        <w:rPr>
          <w:rFonts w:ascii="Times New Roman" w:hAnsi="Times New Roman" w:cs="Times New Roman"/>
        </w:rPr>
        <w:t>The factual core of the plaintiffs’ claims was the use of asbestos in a factory operated in Texas by companies</w:t>
      </w:r>
      <w:r w:rsidR="00E12C04">
        <w:rPr>
          <w:rFonts w:ascii="Times New Roman" w:hAnsi="Times New Roman" w:cs="Times New Roman"/>
        </w:rPr>
        <w:t xml:space="preserve"> unconnected with the Cape group</w:t>
      </w:r>
      <w:r>
        <w:rPr>
          <w:rFonts w:ascii="Times New Roman" w:hAnsi="Times New Roman" w:cs="Times New Roman"/>
        </w:rPr>
        <w:t xml:space="preserve"> in the period up to </w:t>
      </w:r>
      <w:r w:rsidR="0020058F">
        <w:rPr>
          <w:rFonts w:ascii="Times New Roman" w:hAnsi="Times New Roman" w:cs="Times New Roman"/>
        </w:rPr>
        <w:t xml:space="preserve">1972 when the factory was closed, the claimants being former workers in the plant. </w:t>
      </w:r>
      <w:r w:rsidR="00E12C04">
        <w:rPr>
          <w:rFonts w:ascii="Times New Roman" w:hAnsi="Times New Roman" w:cs="Times New Roman"/>
        </w:rPr>
        <w:t>T</w:t>
      </w:r>
      <w:r w:rsidR="0020058F">
        <w:rPr>
          <w:rFonts w:ascii="Times New Roman" w:hAnsi="Times New Roman" w:cs="Times New Roman"/>
        </w:rPr>
        <w:t xml:space="preserve">he Cape group had been a </w:t>
      </w:r>
      <w:r w:rsidR="00151969">
        <w:rPr>
          <w:rFonts w:ascii="Times New Roman" w:hAnsi="Times New Roman" w:cs="Times New Roman"/>
        </w:rPr>
        <w:t>long-term</w:t>
      </w:r>
      <w:r w:rsidR="0020058F">
        <w:rPr>
          <w:rFonts w:ascii="Times New Roman" w:hAnsi="Times New Roman" w:cs="Times New Roman"/>
        </w:rPr>
        <w:t xml:space="preserve"> supplier of asbestos to the plant, doing so for at least the decade preceding the plant’s closure and apparently earlier. </w:t>
      </w:r>
      <w:r w:rsidR="006A3014">
        <w:rPr>
          <w:rFonts w:ascii="Times New Roman" w:hAnsi="Times New Roman" w:cs="Times New Roman"/>
        </w:rPr>
        <w:t xml:space="preserve">A first </w:t>
      </w:r>
      <w:r w:rsidR="00151969">
        <w:rPr>
          <w:rFonts w:ascii="Times New Roman" w:hAnsi="Times New Roman" w:cs="Times New Roman"/>
        </w:rPr>
        <w:t>round</w:t>
      </w:r>
      <w:r w:rsidR="006A3014">
        <w:rPr>
          <w:rFonts w:ascii="Times New Roman" w:hAnsi="Times New Roman" w:cs="Times New Roman"/>
        </w:rPr>
        <w:t xml:space="preserve"> of l</w:t>
      </w:r>
      <w:r w:rsidR="0020058F">
        <w:rPr>
          <w:rFonts w:ascii="Times New Roman" w:hAnsi="Times New Roman" w:cs="Times New Roman"/>
        </w:rPr>
        <w:t>itigation was commenced in early 1974</w:t>
      </w:r>
      <w:r w:rsidR="00743D9D">
        <w:rPr>
          <w:rFonts w:ascii="Times New Roman" w:hAnsi="Times New Roman" w:cs="Times New Roman"/>
        </w:rPr>
        <w:t xml:space="preserve"> in the relevant federal district court in Texas</w:t>
      </w:r>
      <w:r w:rsidR="0020058F">
        <w:rPr>
          <w:rFonts w:ascii="Times New Roman" w:hAnsi="Times New Roman" w:cs="Times New Roman"/>
        </w:rPr>
        <w:t>. The defendants included, not surprisingly, the operators of the plant but also Cape plc and its worldwide marketing agent.</w:t>
      </w:r>
      <w:r w:rsidR="0020058F">
        <w:rPr>
          <w:rStyle w:val="ab"/>
          <w:rFonts w:ascii="Times New Roman" w:hAnsi="Times New Roman" w:cs="Times New Roman"/>
        </w:rPr>
        <w:footnoteReference w:id="31"/>
      </w:r>
      <w:r w:rsidR="0020058F">
        <w:rPr>
          <w:rFonts w:ascii="Times New Roman" w:hAnsi="Times New Roman" w:cs="Times New Roman"/>
        </w:rPr>
        <w:t xml:space="preserve"> At this point, Cape’s </w:t>
      </w:r>
      <w:r w:rsidR="001D2831">
        <w:rPr>
          <w:rFonts w:ascii="Times New Roman" w:hAnsi="Times New Roman" w:cs="Times New Roman"/>
        </w:rPr>
        <w:t>group</w:t>
      </w:r>
      <w:r w:rsidR="0020058F">
        <w:rPr>
          <w:rFonts w:ascii="Times New Roman" w:hAnsi="Times New Roman" w:cs="Times New Roman"/>
        </w:rPr>
        <w:t xml:space="preserve"> structure, so far as relevant, was broadly this. The asbestos was mined in South Africa via indirect</w:t>
      </w:r>
      <w:r w:rsidR="00743D9D">
        <w:rPr>
          <w:rFonts w:ascii="Times New Roman" w:hAnsi="Times New Roman" w:cs="Times New Roman"/>
        </w:rPr>
        <w:t>,</w:t>
      </w:r>
      <w:r w:rsidR="0020058F">
        <w:rPr>
          <w:rFonts w:ascii="Times New Roman" w:hAnsi="Times New Roman" w:cs="Times New Roman"/>
        </w:rPr>
        <w:t xml:space="preserve"> but wholly owned</w:t>
      </w:r>
      <w:r w:rsidR="00743D9D">
        <w:rPr>
          <w:rFonts w:ascii="Times New Roman" w:hAnsi="Times New Roman" w:cs="Times New Roman"/>
        </w:rPr>
        <w:t>,</w:t>
      </w:r>
      <w:r w:rsidR="0020058F">
        <w:rPr>
          <w:rFonts w:ascii="Times New Roman" w:hAnsi="Times New Roman" w:cs="Times New Roman"/>
        </w:rPr>
        <w:t xml:space="preserve"> S</w:t>
      </w:r>
      <w:r w:rsidR="00743D9D">
        <w:rPr>
          <w:rFonts w:ascii="Times New Roman" w:hAnsi="Times New Roman" w:cs="Times New Roman"/>
        </w:rPr>
        <w:t>outh African subsidiaries of Cape</w:t>
      </w:r>
      <w:r w:rsidR="001D2831">
        <w:rPr>
          <w:rFonts w:ascii="Times New Roman" w:hAnsi="Times New Roman" w:cs="Times New Roman"/>
        </w:rPr>
        <w:t xml:space="preserve"> plc</w:t>
      </w:r>
      <w:r w:rsidR="00743D9D">
        <w:rPr>
          <w:rFonts w:ascii="Times New Roman" w:hAnsi="Times New Roman" w:cs="Times New Roman"/>
        </w:rPr>
        <w:t xml:space="preserve">. The asbestos was marketed </w:t>
      </w:r>
      <w:r w:rsidR="00743D9D">
        <w:rPr>
          <w:rFonts w:ascii="Times New Roman" w:hAnsi="Times New Roman" w:cs="Times New Roman"/>
        </w:rPr>
        <w:lastRenderedPageBreak/>
        <w:t>in the US through the North American Asbestos Company (NAAC)</w:t>
      </w:r>
      <w:r w:rsidR="00E5678B">
        <w:rPr>
          <w:rFonts w:ascii="Times New Roman" w:hAnsi="Times New Roman" w:cs="Times New Roman"/>
        </w:rPr>
        <w:t>, a company incorporated in Illinois,</w:t>
      </w:r>
      <w:r w:rsidR="00743D9D">
        <w:rPr>
          <w:rFonts w:ascii="Times New Roman" w:hAnsi="Times New Roman" w:cs="Times New Roman"/>
        </w:rPr>
        <w:t xml:space="preserve"> which was a wholly owned subsidiary of Cape plc</w:t>
      </w:r>
      <w:r w:rsidR="006A3014">
        <w:rPr>
          <w:rFonts w:ascii="Times New Roman" w:hAnsi="Times New Roman" w:cs="Times New Roman"/>
        </w:rPr>
        <w:t>, but probably lacked significant assets</w:t>
      </w:r>
      <w:r w:rsidR="00743D9D">
        <w:rPr>
          <w:rFonts w:ascii="Times New Roman" w:hAnsi="Times New Roman" w:cs="Times New Roman"/>
        </w:rPr>
        <w:t xml:space="preserve">. </w:t>
      </w:r>
      <w:r w:rsidR="00BD4C50">
        <w:rPr>
          <w:rFonts w:ascii="Times New Roman" w:hAnsi="Times New Roman" w:cs="Times New Roman"/>
        </w:rPr>
        <w:t>Its role was essentially one of coordination. It obtained orders for asbestos from US customers, passed on those orders to the South African mining subsidiaries, either directly or via the Group’s worldwide marketing company, and arranged delivery at the times requested by the customers.</w:t>
      </w:r>
    </w:p>
    <w:p w14:paraId="12E204B4" w14:textId="03762DF0" w:rsidR="00743D9D" w:rsidRDefault="00743D9D" w:rsidP="00B71028">
      <w:pPr>
        <w:spacing w:line="276" w:lineRule="auto"/>
        <w:jc w:val="both"/>
        <w:rPr>
          <w:rFonts w:ascii="Times New Roman" w:hAnsi="Times New Roman" w:cs="Times New Roman"/>
        </w:rPr>
      </w:pPr>
      <w:r>
        <w:rPr>
          <w:rFonts w:ascii="Times New Roman" w:hAnsi="Times New Roman" w:cs="Times New Roman"/>
        </w:rPr>
        <w:t xml:space="preserve">Cape’s view </w:t>
      </w:r>
      <w:r w:rsidR="00BD4C50">
        <w:rPr>
          <w:rFonts w:ascii="Times New Roman" w:hAnsi="Times New Roman" w:cs="Times New Roman"/>
        </w:rPr>
        <w:t xml:space="preserve">of the law </w:t>
      </w:r>
      <w:r>
        <w:rPr>
          <w:rFonts w:ascii="Times New Roman" w:hAnsi="Times New Roman" w:cs="Times New Roman"/>
        </w:rPr>
        <w:t>was that the Texas court had no jurisdiction of over it</w:t>
      </w:r>
      <w:r w:rsidR="00FF0A70">
        <w:rPr>
          <w:rFonts w:ascii="Times New Roman" w:hAnsi="Times New Roman" w:cs="Times New Roman"/>
        </w:rPr>
        <w:t xml:space="preserve"> because the equivalent “presence” rule in </w:t>
      </w:r>
      <w:r w:rsidR="00662E30">
        <w:rPr>
          <w:rFonts w:ascii="Times New Roman" w:hAnsi="Times New Roman" w:cs="Times New Roman"/>
        </w:rPr>
        <w:t>Texas state law did not reach it</w:t>
      </w:r>
      <w:r>
        <w:rPr>
          <w:rFonts w:ascii="Times New Roman" w:hAnsi="Times New Roman" w:cs="Times New Roman"/>
        </w:rPr>
        <w:t>.</w:t>
      </w:r>
      <w:r w:rsidR="00E12C04">
        <w:rPr>
          <w:rStyle w:val="ab"/>
          <w:rFonts w:ascii="Times New Roman" w:hAnsi="Times New Roman" w:cs="Times New Roman"/>
        </w:rPr>
        <w:footnoteReference w:id="32"/>
      </w:r>
      <w:r>
        <w:rPr>
          <w:rFonts w:ascii="Times New Roman" w:hAnsi="Times New Roman" w:cs="Times New Roman"/>
        </w:rPr>
        <w:t xml:space="preserve"> It therefore </w:t>
      </w:r>
      <w:r w:rsidR="006A3014">
        <w:rPr>
          <w:rFonts w:ascii="Times New Roman" w:hAnsi="Times New Roman" w:cs="Times New Roman"/>
        </w:rPr>
        <w:t>entered a</w:t>
      </w:r>
      <w:r>
        <w:rPr>
          <w:rFonts w:ascii="Times New Roman" w:hAnsi="Times New Roman" w:cs="Times New Roman"/>
        </w:rPr>
        <w:t xml:space="preserve"> motion to have the claim against it dismissed on this ground. The judge dismissed the motion</w:t>
      </w:r>
      <w:r w:rsidR="006A3014">
        <w:rPr>
          <w:rFonts w:ascii="Times New Roman" w:hAnsi="Times New Roman" w:cs="Times New Roman"/>
        </w:rPr>
        <w:t xml:space="preserve"> a</w:t>
      </w:r>
      <w:r w:rsidR="00A2567E">
        <w:rPr>
          <w:rFonts w:ascii="Times New Roman" w:hAnsi="Times New Roman" w:cs="Times New Roman"/>
        </w:rPr>
        <w:t>t</w:t>
      </w:r>
      <w:r w:rsidR="006A3014">
        <w:rPr>
          <w:rFonts w:ascii="Times New Roman" w:hAnsi="Times New Roman" w:cs="Times New Roman"/>
        </w:rPr>
        <w:t xml:space="preserve"> a preliminary matte</w:t>
      </w:r>
      <w:r w:rsidR="00B80F50">
        <w:rPr>
          <w:rFonts w:ascii="Times New Roman" w:hAnsi="Times New Roman" w:cs="Times New Roman"/>
        </w:rPr>
        <w:t>r</w:t>
      </w:r>
      <w:r>
        <w:rPr>
          <w:rFonts w:ascii="Times New Roman" w:hAnsi="Times New Roman" w:cs="Times New Roman"/>
        </w:rPr>
        <w:t xml:space="preserve">, but without giving reasons, and </w:t>
      </w:r>
      <w:r w:rsidR="006A3014">
        <w:rPr>
          <w:rFonts w:ascii="Times New Roman" w:hAnsi="Times New Roman" w:cs="Times New Roman"/>
        </w:rPr>
        <w:t xml:space="preserve">so Cape decided to maintain its objection whilst participating in the trial, as it was entitled to do. In relation to this first </w:t>
      </w:r>
      <w:r w:rsidR="00151969">
        <w:rPr>
          <w:rFonts w:ascii="Times New Roman" w:hAnsi="Times New Roman" w:cs="Times New Roman"/>
        </w:rPr>
        <w:t>round</w:t>
      </w:r>
      <w:r w:rsidR="006A3014">
        <w:rPr>
          <w:rFonts w:ascii="Times New Roman" w:hAnsi="Times New Roman" w:cs="Times New Roman"/>
        </w:rPr>
        <w:t xml:space="preserve"> of litigation, therefore, Cape plc had clearly accepted the jurisdiction of the Texas court. However, the case did not proceed to trial. Instead, the judge engaged in strong efforts to get </w:t>
      </w:r>
      <w:r w:rsidR="00E5678B">
        <w:rPr>
          <w:rFonts w:ascii="Times New Roman" w:hAnsi="Times New Roman" w:cs="Times New Roman"/>
        </w:rPr>
        <w:t xml:space="preserve">all </w:t>
      </w:r>
      <w:r w:rsidR="006A3014">
        <w:rPr>
          <w:rFonts w:ascii="Times New Roman" w:hAnsi="Times New Roman" w:cs="Times New Roman"/>
        </w:rPr>
        <w:t>the parties to settle, including placing the parties in a room and forbidding them to leave town for three days. The negotiations were successful</w:t>
      </w:r>
      <w:r w:rsidR="00E5678B">
        <w:rPr>
          <w:rFonts w:ascii="Times New Roman" w:hAnsi="Times New Roman" w:cs="Times New Roman"/>
        </w:rPr>
        <w:t xml:space="preserve"> in the sense that a settlement was </w:t>
      </w:r>
      <w:proofErr w:type="gramStart"/>
      <w:r w:rsidR="00E5678B">
        <w:rPr>
          <w:rFonts w:ascii="Times New Roman" w:hAnsi="Times New Roman" w:cs="Times New Roman"/>
        </w:rPr>
        <w:t>reached</w:t>
      </w:r>
      <w:proofErr w:type="gramEnd"/>
      <w:r w:rsidR="006A3014">
        <w:rPr>
          <w:rFonts w:ascii="Times New Roman" w:hAnsi="Times New Roman" w:cs="Times New Roman"/>
        </w:rPr>
        <w:t xml:space="preserve"> and Cape met its part of the judgment.</w:t>
      </w:r>
    </w:p>
    <w:p w14:paraId="29EDBD29" w14:textId="12D4BA65" w:rsidR="006A3014" w:rsidRDefault="00BC2EE1" w:rsidP="00B71028">
      <w:pPr>
        <w:spacing w:line="276" w:lineRule="auto"/>
        <w:jc w:val="both"/>
        <w:rPr>
          <w:rFonts w:ascii="Times New Roman" w:hAnsi="Times New Roman" w:cs="Times New Roman"/>
        </w:rPr>
      </w:pPr>
      <w:r>
        <w:rPr>
          <w:rFonts w:ascii="Times New Roman" w:hAnsi="Times New Roman" w:cs="Times New Roman"/>
        </w:rPr>
        <w:t xml:space="preserve">From Cape’s point of view the result was clearly unsatisfactory, not simply because it had </w:t>
      </w:r>
      <w:r w:rsidR="00F8583E">
        <w:rPr>
          <w:rFonts w:ascii="Times New Roman" w:hAnsi="Times New Roman" w:cs="Times New Roman"/>
        </w:rPr>
        <w:t>incurred liability</w:t>
      </w:r>
      <w:r>
        <w:rPr>
          <w:rFonts w:ascii="Times New Roman" w:hAnsi="Times New Roman" w:cs="Times New Roman"/>
        </w:rPr>
        <w:t>,</w:t>
      </w:r>
      <w:r w:rsidR="00A2567E">
        <w:rPr>
          <w:rStyle w:val="ab"/>
          <w:rFonts w:ascii="Times New Roman" w:hAnsi="Times New Roman" w:cs="Times New Roman"/>
        </w:rPr>
        <w:footnoteReference w:id="33"/>
      </w:r>
      <w:r>
        <w:rPr>
          <w:rFonts w:ascii="Times New Roman" w:hAnsi="Times New Roman" w:cs="Times New Roman"/>
        </w:rPr>
        <w:t xml:space="preserve"> but also because it had not managed to have a substantive determination of its principal defence. </w:t>
      </w:r>
      <w:r w:rsidR="00DC5D6A">
        <w:rPr>
          <w:rFonts w:ascii="Times New Roman" w:hAnsi="Times New Roman" w:cs="Times New Roman"/>
        </w:rPr>
        <w:t>For the future, because it was clear that claims by additional groups of workers were about to be instituted</w:t>
      </w:r>
      <w:r w:rsidR="00E5678B">
        <w:rPr>
          <w:rFonts w:ascii="Times New Roman" w:hAnsi="Times New Roman" w:cs="Times New Roman"/>
        </w:rPr>
        <w:t xml:space="preserve"> and because it was likely that the same judge who handled the first round of litigation would handle the second</w:t>
      </w:r>
      <w:r w:rsidR="00DC5D6A">
        <w:rPr>
          <w:rFonts w:ascii="Times New Roman" w:hAnsi="Times New Roman" w:cs="Times New Roman"/>
        </w:rPr>
        <w:t xml:space="preserve">, Cape plc decided to change both its litigation strategy and its group structure. The first change took the form of not participating in </w:t>
      </w:r>
      <w:r w:rsidR="00E5678B">
        <w:rPr>
          <w:rFonts w:ascii="Times New Roman" w:hAnsi="Times New Roman" w:cs="Times New Roman"/>
        </w:rPr>
        <w:t>the second round</w:t>
      </w:r>
      <w:r w:rsidR="00DC5D6A">
        <w:rPr>
          <w:rFonts w:ascii="Times New Roman" w:hAnsi="Times New Roman" w:cs="Times New Roman"/>
        </w:rPr>
        <w:t xml:space="preserve"> </w:t>
      </w:r>
      <w:r w:rsidR="00417AE4">
        <w:rPr>
          <w:rFonts w:ascii="Times New Roman" w:hAnsi="Times New Roman" w:cs="Times New Roman"/>
        </w:rPr>
        <w:t xml:space="preserve">(or any other US litigation) </w:t>
      </w:r>
      <w:r w:rsidR="00DC5D6A">
        <w:rPr>
          <w:rFonts w:ascii="Times New Roman" w:hAnsi="Times New Roman" w:cs="Times New Roman"/>
        </w:rPr>
        <w:t xml:space="preserve">and accepting that this would mean a default judgment would be entered against it. It would then litigate the jurisdiction point in England by reference to English law, if, as </w:t>
      </w:r>
      <w:r w:rsidR="00E5678B">
        <w:rPr>
          <w:rFonts w:ascii="Times New Roman" w:hAnsi="Times New Roman" w:cs="Times New Roman"/>
        </w:rPr>
        <w:t xml:space="preserve">in fact </w:t>
      </w:r>
      <w:r w:rsidR="00DC5D6A">
        <w:rPr>
          <w:rFonts w:ascii="Times New Roman" w:hAnsi="Times New Roman" w:cs="Times New Roman"/>
        </w:rPr>
        <w:t xml:space="preserve">happened, </w:t>
      </w:r>
      <w:r w:rsidR="00F8583E">
        <w:rPr>
          <w:rFonts w:ascii="Times New Roman" w:hAnsi="Times New Roman" w:cs="Times New Roman"/>
        </w:rPr>
        <w:t>the parties to the second round settled</w:t>
      </w:r>
      <w:r w:rsidR="00417AE4">
        <w:rPr>
          <w:rStyle w:val="ab"/>
          <w:rFonts w:ascii="Times New Roman" w:hAnsi="Times New Roman" w:cs="Times New Roman"/>
        </w:rPr>
        <w:footnoteReference w:id="34"/>
      </w:r>
      <w:r w:rsidR="00F8583E">
        <w:rPr>
          <w:rFonts w:ascii="Times New Roman" w:hAnsi="Times New Roman" w:cs="Times New Roman"/>
        </w:rPr>
        <w:t xml:space="preserve"> and </w:t>
      </w:r>
      <w:r w:rsidR="00DC5D6A">
        <w:rPr>
          <w:rFonts w:ascii="Times New Roman" w:hAnsi="Times New Roman" w:cs="Times New Roman"/>
        </w:rPr>
        <w:t>the claimants sought to enforce the default Texas judgement</w:t>
      </w:r>
      <w:r w:rsidR="00F8583E">
        <w:rPr>
          <w:rFonts w:ascii="Times New Roman" w:hAnsi="Times New Roman" w:cs="Times New Roman"/>
        </w:rPr>
        <w:t xml:space="preserve"> against Cape plc</w:t>
      </w:r>
      <w:r w:rsidR="00DC5D6A">
        <w:rPr>
          <w:rFonts w:ascii="Times New Roman" w:hAnsi="Times New Roman" w:cs="Times New Roman"/>
        </w:rPr>
        <w:t xml:space="preserve"> in England.</w:t>
      </w:r>
      <w:r w:rsidR="00DC5D6A">
        <w:rPr>
          <w:rStyle w:val="ab"/>
          <w:rFonts w:ascii="Times New Roman" w:hAnsi="Times New Roman" w:cs="Times New Roman"/>
        </w:rPr>
        <w:footnoteReference w:id="35"/>
      </w:r>
    </w:p>
    <w:p w14:paraId="2097A7BF" w14:textId="2907503C" w:rsidR="003066FC" w:rsidRDefault="00CE4AC1" w:rsidP="00B71028">
      <w:pPr>
        <w:spacing w:line="276" w:lineRule="auto"/>
        <w:jc w:val="both"/>
        <w:rPr>
          <w:rFonts w:ascii="Times New Roman" w:hAnsi="Times New Roman" w:cs="Times New Roman"/>
        </w:rPr>
      </w:pPr>
      <w:r>
        <w:rPr>
          <w:rFonts w:ascii="Times New Roman" w:hAnsi="Times New Roman" w:cs="Times New Roman"/>
        </w:rPr>
        <w:t xml:space="preserve">As to the group structure, this was altered in two ways. </w:t>
      </w:r>
      <w:r w:rsidR="00E5678B">
        <w:rPr>
          <w:rFonts w:ascii="Times New Roman" w:hAnsi="Times New Roman" w:cs="Times New Roman"/>
        </w:rPr>
        <w:t xml:space="preserve">First, </w:t>
      </w:r>
      <w:r w:rsidR="003066FC">
        <w:rPr>
          <w:rFonts w:ascii="Times New Roman" w:hAnsi="Times New Roman" w:cs="Times New Roman"/>
        </w:rPr>
        <w:t>NAAC was wound up and a new company formed in Illinois</w:t>
      </w:r>
      <w:r w:rsidR="00705DFA">
        <w:rPr>
          <w:rFonts w:ascii="Times New Roman" w:hAnsi="Times New Roman" w:cs="Times New Roman"/>
        </w:rPr>
        <w:t xml:space="preserve"> and given the anodyne name of </w:t>
      </w:r>
      <w:r w:rsidR="003066FC">
        <w:rPr>
          <w:rFonts w:ascii="Times New Roman" w:hAnsi="Times New Roman" w:cs="Times New Roman"/>
        </w:rPr>
        <w:t>Continental Productions Corporation (CPC). Cape plc held none of the shares in CPC, even indirectly; they were all held by a Mr Morgan, both legally and beneficially.</w:t>
      </w:r>
      <w:r w:rsidR="00D076BE">
        <w:rPr>
          <w:rStyle w:val="ab"/>
          <w:rFonts w:ascii="Times New Roman" w:hAnsi="Times New Roman" w:cs="Times New Roman"/>
        </w:rPr>
        <w:footnoteReference w:id="36"/>
      </w:r>
      <w:r w:rsidR="003066FC">
        <w:rPr>
          <w:rFonts w:ascii="Times New Roman" w:hAnsi="Times New Roman" w:cs="Times New Roman"/>
        </w:rPr>
        <w:t xml:space="preserve"> However, Mr Morgan was the former </w:t>
      </w:r>
      <w:r w:rsidR="003066FC">
        <w:rPr>
          <w:rFonts w:ascii="Times New Roman" w:hAnsi="Times New Roman" w:cs="Times New Roman"/>
        </w:rPr>
        <w:lastRenderedPageBreak/>
        <w:t xml:space="preserve">President of NAAC, Cape paid at least some of the </w:t>
      </w:r>
      <w:r w:rsidR="00D076BE">
        <w:rPr>
          <w:rFonts w:ascii="Times New Roman" w:hAnsi="Times New Roman" w:cs="Times New Roman"/>
        </w:rPr>
        <w:t>set-up</w:t>
      </w:r>
      <w:r w:rsidR="003066FC">
        <w:rPr>
          <w:rFonts w:ascii="Times New Roman" w:hAnsi="Times New Roman" w:cs="Times New Roman"/>
        </w:rPr>
        <w:t xml:space="preserve"> costs of the new company, </w:t>
      </w:r>
      <w:r w:rsidR="00D076BE">
        <w:rPr>
          <w:rFonts w:ascii="Times New Roman" w:hAnsi="Times New Roman" w:cs="Times New Roman"/>
        </w:rPr>
        <w:t xml:space="preserve">and </w:t>
      </w:r>
      <w:r w:rsidR="003066FC">
        <w:rPr>
          <w:rFonts w:ascii="Times New Roman" w:hAnsi="Times New Roman" w:cs="Times New Roman"/>
        </w:rPr>
        <w:t>the roles of CPC included the marketing of Cape asbestos in the US in much the same manner as before. An agency agreement was entered into between CPC and AMC (</w:t>
      </w:r>
      <w:r w:rsidR="00BD4C50">
        <w:rPr>
          <w:rFonts w:ascii="Times New Roman" w:hAnsi="Times New Roman" w:cs="Times New Roman"/>
        </w:rPr>
        <w:t xml:space="preserve">a group company, </w:t>
      </w:r>
      <w:r w:rsidR="003066FC">
        <w:rPr>
          <w:rFonts w:ascii="Times New Roman" w:hAnsi="Times New Roman" w:cs="Times New Roman"/>
        </w:rPr>
        <w:t xml:space="preserve">see below) under which CPC was remunerated on a commission basis, but had no authority to contract on behalf of AMC. </w:t>
      </w:r>
    </w:p>
    <w:p w14:paraId="56910D88" w14:textId="51BFB9D4" w:rsidR="00F8583E" w:rsidRDefault="00DE5A91" w:rsidP="00B71028">
      <w:pPr>
        <w:spacing w:line="276" w:lineRule="auto"/>
        <w:jc w:val="both"/>
        <w:rPr>
          <w:rFonts w:ascii="Times New Roman" w:hAnsi="Times New Roman" w:cs="Times New Roman"/>
        </w:rPr>
      </w:pPr>
      <w:r>
        <w:rPr>
          <w:rFonts w:ascii="Times New Roman" w:hAnsi="Times New Roman" w:cs="Times New Roman"/>
        </w:rPr>
        <w:t>As to AMC (Associated Mineral Corporation)</w:t>
      </w:r>
      <w:r w:rsidR="007D56B5">
        <w:rPr>
          <w:rFonts w:ascii="Times New Roman" w:hAnsi="Times New Roman" w:cs="Times New Roman"/>
        </w:rPr>
        <w:t>,</w:t>
      </w:r>
      <w:r>
        <w:rPr>
          <w:rFonts w:ascii="Times New Roman" w:hAnsi="Times New Roman" w:cs="Times New Roman"/>
        </w:rPr>
        <w:t xml:space="preserve"> this was a Luxembourg company, all the (bearer) shares in which were held by Dr Ritter, a Luxembourg lawyer, who held them as a fiduciary for </w:t>
      </w:r>
      <w:r w:rsidR="0018160B">
        <w:rPr>
          <w:rFonts w:ascii="Times New Roman" w:hAnsi="Times New Roman" w:cs="Times New Roman"/>
        </w:rPr>
        <w:t xml:space="preserve">an English company which was a wholly-owned subsidiary of Cape plc. </w:t>
      </w:r>
      <w:r w:rsidR="00BD4C50">
        <w:rPr>
          <w:rFonts w:ascii="Times New Roman" w:hAnsi="Times New Roman" w:cs="Times New Roman"/>
        </w:rPr>
        <w:t>CPC was to place the orders for US customers via AMC rather than</w:t>
      </w:r>
      <w:r w:rsidR="00F8583E">
        <w:rPr>
          <w:rFonts w:ascii="Times New Roman" w:hAnsi="Times New Roman" w:cs="Times New Roman"/>
        </w:rPr>
        <w:t xml:space="preserve"> </w:t>
      </w:r>
      <w:r w:rsidR="00A2567E">
        <w:rPr>
          <w:rFonts w:ascii="Times New Roman" w:hAnsi="Times New Roman" w:cs="Times New Roman"/>
        </w:rPr>
        <w:t xml:space="preserve">directly </w:t>
      </w:r>
      <w:r w:rsidR="00705DFA">
        <w:rPr>
          <w:rFonts w:ascii="Times New Roman" w:hAnsi="Times New Roman" w:cs="Times New Roman"/>
        </w:rPr>
        <w:t xml:space="preserve">with the mining companies </w:t>
      </w:r>
      <w:r w:rsidR="00A2567E">
        <w:rPr>
          <w:rFonts w:ascii="Times New Roman" w:hAnsi="Times New Roman" w:cs="Times New Roman"/>
        </w:rPr>
        <w:t>or via the worldwide marketing company</w:t>
      </w:r>
      <w:r w:rsidR="00F8583E">
        <w:rPr>
          <w:rFonts w:ascii="Times New Roman" w:hAnsi="Times New Roman" w:cs="Times New Roman"/>
        </w:rPr>
        <w:t xml:space="preserve">. </w:t>
      </w:r>
      <w:r w:rsidR="0018160B">
        <w:rPr>
          <w:rFonts w:ascii="Times New Roman" w:hAnsi="Times New Roman" w:cs="Times New Roman"/>
        </w:rPr>
        <w:t xml:space="preserve">AMC is unimportant for the holding in this litigation, except as a limiting case. </w:t>
      </w:r>
      <w:r w:rsidR="00637CB8">
        <w:rPr>
          <w:rFonts w:ascii="Times New Roman" w:hAnsi="Times New Roman" w:cs="Times New Roman"/>
        </w:rPr>
        <w:t>As Scott J put it:</w:t>
      </w:r>
    </w:p>
    <w:p w14:paraId="2754DD7B" w14:textId="77777777" w:rsidR="00F8583E" w:rsidRDefault="00637CB8" w:rsidP="00B71028">
      <w:pPr>
        <w:spacing w:line="276" w:lineRule="auto"/>
        <w:ind w:left="283" w:right="283"/>
        <w:jc w:val="both"/>
        <w:rPr>
          <w:rFonts w:ascii="Times New Roman" w:hAnsi="Times New Roman" w:cs="Times New Roman"/>
        </w:rPr>
      </w:pPr>
      <w:r>
        <w:rPr>
          <w:rFonts w:ascii="Times New Roman" w:hAnsi="Times New Roman" w:cs="Times New Roman"/>
        </w:rPr>
        <w:t>“</w:t>
      </w:r>
      <w:r w:rsidRPr="00637CB8">
        <w:rPr>
          <w:rFonts w:ascii="Times New Roman" w:hAnsi="Times New Roman" w:cs="Times New Roman"/>
        </w:rPr>
        <w:t xml:space="preserve">It seems clear, however, that A.M.C. was no more than a corporate name. It was described by Mr. Penna as </w:t>
      </w:r>
      <w:r>
        <w:rPr>
          <w:rFonts w:ascii="Times New Roman" w:hAnsi="Times New Roman" w:cs="Times New Roman"/>
        </w:rPr>
        <w:t>‘</w:t>
      </w:r>
      <w:r w:rsidRPr="00637CB8">
        <w:rPr>
          <w:rFonts w:ascii="Times New Roman" w:hAnsi="Times New Roman" w:cs="Times New Roman"/>
        </w:rPr>
        <w:t>an invoicing company</w:t>
      </w:r>
      <w:r>
        <w:rPr>
          <w:rFonts w:ascii="Times New Roman" w:hAnsi="Times New Roman" w:cs="Times New Roman"/>
        </w:rPr>
        <w:t>’</w:t>
      </w:r>
      <w:r w:rsidRPr="00637CB8">
        <w:rPr>
          <w:rFonts w:ascii="Times New Roman" w:hAnsi="Times New Roman" w:cs="Times New Roman"/>
        </w:rPr>
        <w:t xml:space="preserve"> with no employees of its own. I would expect to find, if all the relevant documents were available, that A.M.C. acted through employees or oﬀicers of </w:t>
      </w:r>
      <w:r>
        <w:rPr>
          <w:rFonts w:ascii="Times New Roman" w:hAnsi="Times New Roman" w:cs="Times New Roman"/>
        </w:rPr>
        <w:t>[one or other of two South African subsidiaries of Cape</w:t>
      </w:r>
      <w:r w:rsidR="00F8583E">
        <w:rPr>
          <w:rFonts w:ascii="Times New Roman" w:hAnsi="Times New Roman" w:cs="Times New Roman"/>
        </w:rPr>
        <w:t>]</w:t>
      </w:r>
      <w:r w:rsidRPr="00637CB8">
        <w:rPr>
          <w:rFonts w:ascii="Times New Roman" w:hAnsi="Times New Roman" w:cs="Times New Roman"/>
        </w:rPr>
        <w:t>.</w:t>
      </w:r>
      <w:r>
        <w:rPr>
          <w:rFonts w:ascii="Times New Roman" w:hAnsi="Times New Roman" w:cs="Times New Roman"/>
        </w:rPr>
        <w:t>”</w:t>
      </w:r>
      <w:r>
        <w:rPr>
          <w:rStyle w:val="ab"/>
          <w:rFonts w:ascii="Times New Roman" w:hAnsi="Times New Roman" w:cs="Times New Roman"/>
        </w:rPr>
        <w:footnoteReference w:id="37"/>
      </w:r>
      <w:r>
        <w:rPr>
          <w:rFonts w:ascii="Times New Roman" w:hAnsi="Times New Roman" w:cs="Times New Roman"/>
        </w:rPr>
        <w:t xml:space="preserve"> </w:t>
      </w:r>
    </w:p>
    <w:p w14:paraId="65556955" w14:textId="009D87F7" w:rsidR="00DE5A91" w:rsidRDefault="00637CB8" w:rsidP="00B71028">
      <w:pPr>
        <w:spacing w:line="276" w:lineRule="auto"/>
        <w:jc w:val="both"/>
        <w:rPr>
          <w:rFonts w:ascii="Times New Roman" w:hAnsi="Times New Roman" w:cs="Times New Roman"/>
        </w:rPr>
      </w:pPr>
      <w:r>
        <w:rPr>
          <w:rFonts w:ascii="Times New Roman" w:hAnsi="Times New Roman" w:cs="Times New Roman"/>
        </w:rPr>
        <w:t>On the basis that none of the applicable corporate formalities were observed in relation to AMC, both Scott J and the Court of Appeal were prepared to ignore its separate legal personality on the grounds that it was a “sham”</w:t>
      </w:r>
      <w:r w:rsidR="007F4C93">
        <w:rPr>
          <w:rFonts w:ascii="Times New Roman" w:hAnsi="Times New Roman" w:cs="Times New Roman"/>
        </w:rPr>
        <w:t xml:space="preserve"> or “façade”</w:t>
      </w:r>
      <w:r>
        <w:rPr>
          <w:rFonts w:ascii="Times New Roman" w:hAnsi="Times New Roman" w:cs="Times New Roman"/>
        </w:rPr>
        <w:t>. However, since AMC was clearly not present in the United States, its sham status did not advance the claimants’ position.</w:t>
      </w:r>
      <w:r w:rsidR="007F4C93">
        <w:rPr>
          <w:rStyle w:val="ab"/>
          <w:rFonts w:ascii="Times New Roman" w:hAnsi="Times New Roman" w:cs="Times New Roman"/>
        </w:rPr>
        <w:footnoteReference w:id="38"/>
      </w:r>
    </w:p>
    <w:p w14:paraId="4595B0A8" w14:textId="2A00641A" w:rsidR="00C906DC" w:rsidRDefault="00C906DC" w:rsidP="00B71028">
      <w:pPr>
        <w:spacing w:line="276" w:lineRule="auto"/>
        <w:jc w:val="both"/>
        <w:rPr>
          <w:rFonts w:ascii="Times New Roman" w:hAnsi="Times New Roman" w:cs="Times New Roman"/>
        </w:rPr>
      </w:pPr>
      <w:r>
        <w:rPr>
          <w:rFonts w:ascii="Times New Roman" w:hAnsi="Times New Roman" w:cs="Times New Roman"/>
        </w:rPr>
        <w:t xml:space="preserve">The Court of Appeal’s assessment of the </w:t>
      </w:r>
      <w:r w:rsidR="007F4C93">
        <w:rPr>
          <w:rFonts w:ascii="Times New Roman" w:hAnsi="Times New Roman" w:cs="Times New Roman"/>
        </w:rPr>
        <w:t xml:space="preserve">overall </w:t>
      </w:r>
      <w:r>
        <w:rPr>
          <w:rFonts w:ascii="Times New Roman" w:hAnsi="Times New Roman" w:cs="Times New Roman"/>
        </w:rPr>
        <w:t>purpose of the</w:t>
      </w:r>
      <w:r w:rsidR="007D56B5">
        <w:rPr>
          <w:rFonts w:ascii="Times New Roman" w:hAnsi="Times New Roman" w:cs="Times New Roman"/>
        </w:rPr>
        <w:t xml:space="preserve"> reorganisation</w:t>
      </w:r>
      <w:r w:rsidR="00B80F50">
        <w:rPr>
          <w:rFonts w:ascii="Times New Roman" w:hAnsi="Times New Roman" w:cs="Times New Roman"/>
        </w:rPr>
        <w:t>, like that of</w:t>
      </w:r>
      <w:r>
        <w:rPr>
          <w:rFonts w:ascii="Times New Roman" w:hAnsi="Times New Roman" w:cs="Times New Roman"/>
        </w:rPr>
        <w:t xml:space="preserve"> Scott J</w:t>
      </w:r>
      <w:r w:rsidR="00B80F50">
        <w:rPr>
          <w:rFonts w:ascii="Times New Roman" w:hAnsi="Times New Roman" w:cs="Times New Roman"/>
        </w:rPr>
        <w:t>, was as follows</w:t>
      </w:r>
      <w:r>
        <w:rPr>
          <w:rFonts w:ascii="Times New Roman" w:hAnsi="Times New Roman" w:cs="Times New Roman"/>
        </w:rPr>
        <w:t>.</w:t>
      </w:r>
    </w:p>
    <w:p w14:paraId="799582CE" w14:textId="26BF8055" w:rsidR="00C906DC" w:rsidRDefault="00C906DC" w:rsidP="00B71028">
      <w:pPr>
        <w:spacing w:line="276" w:lineRule="auto"/>
        <w:ind w:left="283" w:right="283"/>
        <w:jc w:val="both"/>
        <w:rPr>
          <w:rFonts w:ascii="Times New Roman" w:hAnsi="Times New Roman" w:cs="Times New Roman"/>
        </w:rPr>
      </w:pPr>
      <w:r>
        <w:rPr>
          <w:rFonts w:ascii="Times New Roman" w:hAnsi="Times New Roman" w:cs="Times New Roman"/>
        </w:rPr>
        <w:t>“</w:t>
      </w:r>
      <w:r w:rsidRPr="00C906DC">
        <w:rPr>
          <w:rFonts w:ascii="Times New Roman" w:hAnsi="Times New Roman" w:cs="Times New Roman"/>
        </w:rPr>
        <w:t>The inference which we draw from all the evidence was that Cape's intention was to enable sales of asbestos from the South African subsidiaries to continue to be made in the United States while (a) reducing the appearance of any involvement therein of Cape or its subsidiaries, and (b) reducing by any lawful means available to it the risk of any subsidiary or of Cape as parent company being held liable for United States taxation or subject to the jurisdiction of the United States courts, whether state or federal, and the risk of any default judgment by such a court being held to be enforceable in this country.</w:t>
      </w:r>
      <w:r>
        <w:rPr>
          <w:rFonts w:ascii="Times New Roman" w:hAnsi="Times New Roman" w:cs="Times New Roman"/>
        </w:rPr>
        <w:t>”</w:t>
      </w:r>
      <w:r>
        <w:rPr>
          <w:rStyle w:val="ab"/>
          <w:rFonts w:ascii="Times New Roman" w:hAnsi="Times New Roman" w:cs="Times New Roman"/>
        </w:rPr>
        <w:footnoteReference w:id="39"/>
      </w:r>
    </w:p>
    <w:p w14:paraId="2F80618C" w14:textId="77777777" w:rsidR="00B80F50" w:rsidRDefault="00B80F50" w:rsidP="00B71028">
      <w:pPr>
        <w:spacing w:line="276" w:lineRule="auto"/>
        <w:ind w:right="283"/>
        <w:jc w:val="both"/>
        <w:rPr>
          <w:rFonts w:ascii="Times New Roman" w:hAnsi="Times New Roman" w:cs="Times New Roman"/>
        </w:rPr>
      </w:pPr>
    </w:p>
    <w:p w14:paraId="6C7B66E8" w14:textId="79E61A53" w:rsidR="00B80F50" w:rsidRDefault="00B80F50" w:rsidP="00B71028">
      <w:pPr>
        <w:pStyle w:val="a6"/>
        <w:numPr>
          <w:ilvl w:val="0"/>
          <w:numId w:val="3"/>
        </w:numPr>
        <w:spacing w:line="276" w:lineRule="auto"/>
        <w:ind w:right="283"/>
        <w:jc w:val="both"/>
        <w:rPr>
          <w:rFonts w:ascii="Times New Roman" w:hAnsi="Times New Roman" w:cs="Times New Roman"/>
          <w:i/>
          <w:iCs/>
        </w:rPr>
      </w:pPr>
      <w:r>
        <w:rPr>
          <w:rFonts w:ascii="Times New Roman" w:hAnsi="Times New Roman" w:cs="Times New Roman"/>
          <w:i/>
          <w:iCs/>
        </w:rPr>
        <w:t>The decision</w:t>
      </w:r>
    </w:p>
    <w:p w14:paraId="344DCBFB" w14:textId="6702A81A" w:rsidR="00B80F50" w:rsidRDefault="000479F6" w:rsidP="00B71028">
      <w:pPr>
        <w:spacing w:line="276" w:lineRule="auto"/>
        <w:jc w:val="both"/>
        <w:rPr>
          <w:rFonts w:ascii="Times New Roman" w:hAnsi="Times New Roman" w:cs="Times New Roman"/>
        </w:rPr>
      </w:pPr>
      <w:r>
        <w:rPr>
          <w:rFonts w:ascii="Times New Roman" w:hAnsi="Times New Roman" w:cs="Times New Roman"/>
        </w:rPr>
        <w:t>Despite this somewhat complex</w:t>
      </w:r>
      <w:r w:rsidR="00756646">
        <w:rPr>
          <w:rFonts w:ascii="Times New Roman" w:hAnsi="Times New Roman" w:cs="Times New Roman"/>
        </w:rPr>
        <w:t>, and changing,</w:t>
      </w:r>
      <w:r>
        <w:rPr>
          <w:rFonts w:ascii="Times New Roman" w:hAnsi="Times New Roman" w:cs="Times New Roman"/>
        </w:rPr>
        <w:t xml:space="preserve"> </w:t>
      </w:r>
      <w:r w:rsidR="00756646">
        <w:rPr>
          <w:rFonts w:ascii="Times New Roman" w:hAnsi="Times New Roman" w:cs="Times New Roman"/>
        </w:rPr>
        <w:t>corporate</w:t>
      </w:r>
      <w:r>
        <w:rPr>
          <w:rFonts w:ascii="Times New Roman" w:hAnsi="Times New Roman" w:cs="Times New Roman"/>
        </w:rPr>
        <w:t xml:space="preserve"> background</w:t>
      </w:r>
      <w:r w:rsidR="00756646">
        <w:rPr>
          <w:rFonts w:ascii="Times New Roman" w:hAnsi="Times New Roman" w:cs="Times New Roman"/>
        </w:rPr>
        <w:t xml:space="preserve"> and the presenting conflicts of law issue</w:t>
      </w:r>
      <w:r>
        <w:rPr>
          <w:rFonts w:ascii="Times New Roman" w:hAnsi="Times New Roman" w:cs="Times New Roman"/>
        </w:rPr>
        <w:t>, the</w:t>
      </w:r>
      <w:r w:rsidR="00756646">
        <w:rPr>
          <w:rFonts w:ascii="Times New Roman" w:hAnsi="Times New Roman" w:cs="Times New Roman"/>
        </w:rPr>
        <w:t xml:space="preserve"> centrality of the separate legal personality point</w:t>
      </w:r>
      <w:r>
        <w:rPr>
          <w:rFonts w:ascii="Times New Roman" w:hAnsi="Times New Roman" w:cs="Times New Roman"/>
        </w:rPr>
        <w:t xml:space="preserve"> </w:t>
      </w:r>
      <w:r w:rsidR="00756646">
        <w:rPr>
          <w:rFonts w:ascii="Times New Roman" w:hAnsi="Times New Roman" w:cs="Times New Roman"/>
        </w:rPr>
        <w:t xml:space="preserve">was not in doubt. </w:t>
      </w:r>
      <w:r>
        <w:rPr>
          <w:rFonts w:ascii="Times New Roman" w:hAnsi="Times New Roman" w:cs="Times New Roman"/>
        </w:rPr>
        <w:t>Given that Cape plc itself carried on no activities i</w:t>
      </w:r>
      <w:r w:rsidR="004571D3">
        <w:rPr>
          <w:rFonts w:ascii="Times New Roman" w:hAnsi="Times New Roman" w:cs="Times New Roman"/>
        </w:rPr>
        <w:t>n</w:t>
      </w:r>
      <w:r>
        <w:rPr>
          <w:rFonts w:ascii="Times New Roman" w:hAnsi="Times New Roman" w:cs="Times New Roman"/>
        </w:rPr>
        <w:t xml:space="preserve"> the US, </w:t>
      </w:r>
      <w:r w:rsidR="00756646">
        <w:rPr>
          <w:rFonts w:ascii="Times New Roman" w:hAnsi="Times New Roman" w:cs="Times New Roman"/>
        </w:rPr>
        <w:t xml:space="preserve">did its separate legal personality save it from being regarded as present in the US or was it to be identified with its wholly owned US subsidiary, </w:t>
      </w:r>
      <w:r w:rsidR="007D56B5">
        <w:rPr>
          <w:rFonts w:ascii="Times New Roman" w:hAnsi="Times New Roman" w:cs="Times New Roman"/>
        </w:rPr>
        <w:t>NAAC</w:t>
      </w:r>
      <w:r w:rsidR="00756646">
        <w:rPr>
          <w:rFonts w:ascii="Times New Roman" w:hAnsi="Times New Roman" w:cs="Times New Roman"/>
        </w:rPr>
        <w:t xml:space="preserve">? And did the answer change when </w:t>
      </w:r>
      <w:r w:rsidR="007D56B5">
        <w:rPr>
          <w:rFonts w:ascii="Times New Roman" w:hAnsi="Times New Roman" w:cs="Times New Roman"/>
        </w:rPr>
        <w:t>NAAC</w:t>
      </w:r>
      <w:r w:rsidR="00756646">
        <w:rPr>
          <w:rFonts w:ascii="Times New Roman" w:hAnsi="Times New Roman" w:cs="Times New Roman"/>
        </w:rPr>
        <w:t xml:space="preserve"> was replaced by CPC? </w:t>
      </w:r>
    </w:p>
    <w:p w14:paraId="0884397D" w14:textId="171F5487" w:rsidR="000479F6" w:rsidRDefault="009B3CE2" w:rsidP="00B71028">
      <w:pPr>
        <w:spacing w:line="276" w:lineRule="auto"/>
        <w:ind w:right="283"/>
        <w:jc w:val="both"/>
        <w:rPr>
          <w:rFonts w:ascii="Times New Roman" w:hAnsi="Times New Roman" w:cs="Times New Roman"/>
        </w:rPr>
      </w:pPr>
      <w:r>
        <w:rPr>
          <w:rFonts w:ascii="Times New Roman" w:hAnsi="Times New Roman" w:cs="Times New Roman"/>
        </w:rPr>
        <w:lastRenderedPageBreak/>
        <w:t>The Court of Appeal’s starting point was distinctly unfavourable to the appellants:</w:t>
      </w:r>
    </w:p>
    <w:p w14:paraId="51A8A037" w14:textId="160A4DDA" w:rsidR="009B3CE2" w:rsidRDefault="009B3CE2" w:rsidP="00B71028">
      <w:pPr>
        <w:spacing w:line="276" w:lineRule="auto"/>
        <w:ind w:left="283" w:right="454"/>
        <w:jc w:val="both"/>
        <w:rPr>
          <w:rFonts w:ascii="Times New Roman" w:hAnsi="Times New Roman" w:cs="Times New Roman"/>
        </w:rPr>
      </w:pPr>
      <w:r>
        <w:rPr>
          <w:rFonts w:ascii="Times New Roman" w:hAnsi="Times New Roman" w:cs="Times New Roman"/>
        </w:rPr>
        <w:t>“</w:t>
      </w:r>
      <w:r w:rsidRPr="009B3CE2">
        <w:rPr>
          <w:rFonts w:ascii="Times New Roman" w:hAnsi="Times New Roman" w:cs="Times New Roman"/>
        </w:rPr>
        <w:t xml:space="preserve">There is no general principle that all companies in a group of companies are to be regarded as one. On the contrary, the fundamental principle is that </w:t>
      </w:r>
      <w:r>
        <w:rPr>
          <w:rFonts w:ascii="Times New Roman" w:hAnsi="Times New Roman" w:cs="Times New Roman"/>
        </w:rPr>
        <w:t>‘</w:t>
      </w:r>
      <w:r w:rsidRPr="009B3CE2">
        <w:rPr>
          <w:rFonts w:ascii="Times New Roman" w:hAnsi="Times New Roman" w:cs="Times New Roman"/>
        </w:rPr>
        <w:t>each company in a group of companies (a relatively modern concept) is a separate legal entity possessed of separate legal rights and liabilities:</w:t>
      </w:r>
      <w:r>
        <w:rPr>
          <w:rFonts w:ascii="Times New Roman" w:hAnsi="Times New Roman" w:cs="Times New Roman"/>
        </w:rPr>
        <w:t>’</w:t>
      </w:r>
      <w:r w:rsidRPr="009B3CE2">
        <w:rPr>
          <w:rFonts w:ascii="Times New Roman" w:hAnsi="Times New Roman" w:cs="Times New Roman"/>
        </w:rPr>
        <w:t xml:space="preserve"> </w:t>
      </w:r>
      <w:r w:rsidRPr="00705DFA">
        <w:rPr>
          <w:rFonts w:ascii="Times New Roman" w:hAnsi="Times New Roman" w:cs="Times New Roman"/>
          <w:i/>
          <w:iCs/>
        </w:rPr>
        <w:t xml:space="preserve">The </w:t>
      </w:r>
      <w:proofErr w:type="spellStart"/>
      <w:r w:rsidRPr="00705DFA">
        <w:rPr>
          <w:rFonts w:ascii="Times New Roman" w:hAnsi="Times New Roman" w:cs="Times New Roman"/>
          <w:i/>
          <w:iCs/>
        </w:rPr>
        <w:t>Albazero</w:t>
      </w:r>
      <w:proofErr w:type="spellEnd"/>
      <w:r w:rsidRPr="009B3CE2">
        <w:rPr>
          <w:rFonts w:ascii="Times New Roman" w:hAnsi="Times New Roman" w:cs="Times New Roman"/>
        </w:rPr>
        <w:t xml:space="preserve"> [1977] A.C. </w:t>
      </w:r>
      <w:proofErr w:type="gramStart"/>
      <w:r w:rsidRPr="009B3CE2">
        <w:rPr>
          <w:rFonts w:ascii="Times New Roman" w:hAnsi="Times New Roman" w:cs="Times New Roman"/>
        </w:rPr>
        <w:t>774 ,</w:t>
      </w:r>
      <w:proofErr w:type="gramEnd"/>
      <w:r w:rsidRPr="009B3CE2">
        <w:rPr>
          <w:rFonts w:ascii="Times New Roman" w:hAnsi="Times New Roman" w:cs="Times New Roman"/>
        </w:rPr>
        <w:t xml:space="preserve"> 807, per Roskill L.J.</w:t>
      </w:r>
      <w:r>
        <w:rPr>
          <w:rFonts w:ascii="Times New Roman" w:hAnsi="Times New Roman" w:cs="Times New Roman"/>
        </w:rPr>
        <w:t>”</w:t>
      </w:r>
      <w:r>
        <w:rPr>
          <w:rStyle w:val="ab"/>
          <w:rFonts w:ascii="Times New Roman" w:hAnsi="Times New Roman" w:cs="Times New Roman"/>
        </w:rPr>
        <w:footnoteReference w:id="40"/>
      </w:r>
    </w:p>
    <w:p w14:paraId="69D186AB" w14:textId="71B8C56E" w:rsidR="00E71BBF" w:rsidRDefault="009B3CE2" w:rsidP="00B71028">
      <w:pPr>
        <w:spacing w:line="276" w:lineRule="auto"/>
        <w:jc w:val="both"/>
        <w:rPr>
          <w:rFonts w:ascii="Times New Roman" w:hAnsi="Times New Roman" w:cs="Times New Roman"/>
        </w:rPr>
      </w:pPr>
      <w:r>
        <w:rPr>
          <w:rFonts w:ascii="Times New Roman" w:hAnsi="Times New Roman" w:cs="Times New Roman"/>
        </w:rPr>
        <w:t xml:space="preserve">The appellants advance two arguments in relation to </w:t>
      </w:r>
      <w:r w:rsidR="007D56B5">
        <w:rPr>
          <w:rFonts w:ascii="Times New Roman" w:hAnsi="Times New Roman" w:cs="Times New Roman"/>
        </w:rPr>
        <w:t>NAAC</w:t>
      </w:r>
      <w:r>
        <w:rPr>
          <w:rFonts w:ascii="Times New Roman" w:hAnsi="Times New Roman" w:cs="Times New Roman"/>
        </w:rPr>
        <w:t xml:space="preserve"> as to why this approach should </w:t>
      </w:r>
      <w:r w:rsidR="007D56B5">
        <w:rPr>
          <w:rFonts w:ascii="Times New Roman" w:hAnsi="Times New Roman" w:cs="Times New Roman"/>
        </w:rPr>
        <w:t xml:space="preserve">not </w:t>
      </w:r>
      <w:r>
        <w:rPr>
          <w:rFonts w:ascii="Times New Roman" w:hAnsi="Times New Roman" w:cs="Times New Roman"/>
        </w:rPr>
        <w:t xml:space="preserve">be </w:t>
      </w:r>
      <w:r w:rsidR="007D56B5">
        <w:rPr>
          <w:rFonts w:ascii="Times New Roman" w:hAnsi="Times New Roman" w:cs="Times New Roman"/>
        </w:rPr>
        <w:t xml:space="preserve">followed in </w:t>
      </w:r>
      <w:r>
        <w:rPr>
          <w:rFonts w:ascii="Times New Roman" w:hAnsi="Times New Roman" w:cs="Times New Roman"/>
        </w:rPr>
        <w:t>this case</w:t>
      </w:r>
      <w:r w:rsidR="002735C7">
        <w:rPr>
          <w:rFonts w:ascii="Times New Roman" w:hAnsi="Times New Roman" w:cs="Times New Roman"/>
        </w:rPr>
        <w:t>,</w:t>
      </w:r>
      <w:r w:rsidR="002735C7" w:rsidRPr="002735C7">
        <w:rPr>
          <w:rFonts w:ascii="Times New Roman" w:hAnsi="Times New Roman" w:cs="Times New Roman"/>
        </w:rPr>
        <w:t xml:space="preserve"> </w:t>
      </w:r>
      <w:r w:rsidR="002735C7">
        <w:rPr>
          <w:rFonts w:ascii="Times New Roman" w:hAnsi="Times New Roman" w:cs="Times New Roman"/>
        </w:rPr>
        <w:t>namely, the agency argument and the single economic unit argument.</w:t>
      </w:r>
      <w:r w:rsidR="00E71BBF">
        <w:rPr>
          <w:rFonts w:ascii="Times New Roman" w:hAnsi="Times New Roman" w:cs="Times New Roman"/>
        </w:rPr>
        <w:t xml:space="preserve"> Both were rejected. As to the first: </w:t>
      </w:r>
    </w:p>
    <w:p w14:paraId="7D82A214" w14:textId="52C52834" w:rsidR="009B3CE2" w:rsidRDefault="00E71BBF" w:rsidP="00B71028">
      <w:pPr>
        <w:spacing w:line="276" w:lineRule="auto"/>
        <w:ind w:left="283" w:right="283"/>
        <w:jc w:val="both"/>
        <w:rPr>
          <w:rFonts w:ascii="Times New Roman" w:hAnsi="Times New Roman" w:cs="Times New Roman"/>
        </w:rPr>
      </w:pPr>
      <w:r>
        <w:rPr>
          <w:rFonts w:ascii="Times New Roman" w:hAnsi="Times New Roman" w:cs="Times New Roman"/>
        </w:rPr>
        <w:t xml:space="preserve"> </w:t>
      </w:r>
      <w:r w:rsidR="009B3CE2">
        <w:rPr>
          <w:rFonts w:ascii="Times New Roman" w:hAnsi="Times New Roman" w:cs="Times New Roman"/>
        </w:rPr>
        <w:t xml:space="preserve"> </w:t>
      </w:r>
      <w:r>
        <w:rPr>
          <w:rFonts w:ascii="Times New Roman" w:hAnsi="Times New Roman" w:cs="Times New Roman"/>
        </w:rPr>
        <w:t>“. . . s</w:t>
      </w:r>
      <w:r w:rsidRPr="00E71BBF">
        <w:rPr>
          <w:rFonts w:ascii="Times New Roman" w:hAnsi="Times New Roman" w:cs="Times New Roman"/>
        </w:rPr>
        <w:t xml:space="preserve">ave in cases which turn on the wording of </w:t>
      </w:r>
      <w:proofErr w:type="gramStart"/>
      <w:r w:rsidRPr="00E71BBF">
        <w:rPr>
          <w:rFonts w:ascii="Times New Roman" w:hAnsi="Times New Roman" w:cs="Times New Roman"/>
        </w:rPr>
        <w:t>particular statutes</w:t>
      </w:r>
      <w:proofErr w:type="gramEnd"/>
      <w:r w:rsidRPr="00E71BBF">
        <w:rPr>
          <w:rFonts w:ascii="Times New Roman" w:hAnsi="Times New Roman" w:cs="Times New Roman"/>
        </w:rPr>
        <w:t xml:space="preserve"> or contracts, the court is not free to disregard the principle of </w:t>
      </w:r>
      <w:r w:rsidRPr="00E71BBF">
        <w:rPr>
          <w:rFonts w:ascii="Times New Roman" w:hAnsi="Times New Roman" w:cs="Times New Roman"/>
          <w:i/>
          <w:iCs/>
        </w:rPr>
        <w:t>Salomon v. A. Salomon &amp; Co. Ltd.</w:t>
      </w:r>
      <w:r w:rsidRPr="00E71BBF">
        <w:rPr>
          <w:rFonts w:ascii="Times New Roman" w:hAnsi="Times New Roman" w:cs="Times New Roman"/>
        </w:rPr>
        <w:t xml:space="preserve"> [1897] A.C. 22 merely because it considers that justice so requires. Our law, for better or worse, recognises the creation of subsidiary companies, which though in one sense the creatures of their parent companies, will nevertheless under the general law fall to be treated as separate legal entities with all the rights and liabilities which would normally attach to separate legal entities.</w:t>
      </w:r>
      <w:r>
        <w:rPr>
          <w:rFonts w:ascii="Times New Roman" w:hAnsi="Times New Roman" w:cs="Times New Roman"/>
        </w:rPr>
        <w:t>”</w:t>
      </w:r>
    </w:p>
    <w:p w14:paraId="01A1BC70" w14:textId="6A1DD285" w:rsidR="00E71BBF" w:rsidRDefault="00E71BBF" w:rsidP="00B71028">
      <w:pPr>
        <w:spacing w:line="276" w:lineRule="auto"/>
        <w:jc w:val="both"/>
        <w:rPr>
          <w:rFonts w:ascii="Times New Roman" w:hAnsi="Times New Roman" w:cs="Times New Roman"/>
        </w:rPr>
      </w:pPr>
      <w:r>
        <w:rPr>
          <w:rFonts w:ascii="Times New Roman" w:hAnsi="Times New Roman" w:cs="Times New Roman"/>
        </w:rPr>
        <w:t xml:space="preserve">As to the agency argument, this would justify departure from the general principle only if the nature of the relationship was such that it could be said that the subsidiary was carrying on the parent’s business rather than its own. </w:t>
      </w:r>
      <w:r w:rsidR="003F1447">
        <w:rPr>
          <w:rFonts w:ascii="Times New Roman" w:hAnsi="Times New Roman" w:cs="Times New Roman"/>
        </w:rPr>
        <w:t xml:space="preserve">This argument had been rejected on the facts by Scott </w:t>
      </w:r>
      <w:proofErr w:type="gramStart"/>
      <w:r w:rsidR="003F1447">
        <w:rPr>
          <w:rFonts w:ascii="Times New Roman" w:hAnsi="Times New Roman" w:cs="Times New Roman"/>
        </w:rPr>
        <w:t>J</w:t>
      </w:r>
      <w:proofErr w:type="gramEnd"/>
      <w:r w:rsidR="003F1447">
        <w:rPr>
          <w:rFonts w:ascii="Times New Roman" w:hAnsi="Times New Roman" w:cs="Times New Roman"/>
        </w:rPr>
        <w:t xml:space="preserve"> and the Court of Appeal saw no reason to disturb th</w:t>
      </w:r>
      <w:r w:rsidR="00E932B4">
        <w:rPr>
          <w:rFonts w:ascii="Times New Roman" w:hAnsi="Times New Roman" w:cs="Times New Roman"/>
        </w:rPr>
        <w:t>at</w:t>
      </w:r>
      <w:r w:rsidR="003F1447">
        <w:rPr>
          <w:rFonts w:ascii="Times New Roman" w:hAnsi="Times New Roman" w:cs="Times New Roman"/>
        </w:rPr>
        <w:t xml:space="preserve"> finding.</w:t>
      </w:r>
      <w:r w:rsidR="006A5281" w:rsidRPr="006A5281">
        <w:rPr>
          <w:rFonts w:ascii="Times New Roman" w:hAnsi="Times New Roman" w:cs="Times New Roman"/>
        </w:rPr>
        <w:t xml:space="preserve"> </w:t>
      </w:r>
      <w:r w:rsidR="006A5281">
        <w:rPr>
          <w:rFonts w:ascii="Times New Roman" w:hAnsi="Times New Roman" w:cs="Times New Roman"/>
        </w:rPr>
        <w:t xml:space="preserve">Particularly important for the Court of Appeal was that </w:t>
      </w:r>
      <w:r w:rsidR="007D56B5">
        <w:rPr>
          <w:rFonts w:ascii="Times New Roman" w:hAnsi="Times New Roman" w:cs="Times New Roman"/>
        </w:rPr>
        <w:t>NAAC</w:t>
      </w:r>
      <w:r w:rsidR="006A5281">
        <w:rPr>
          <w:rFonts w:ascii="Times New Roman" w:hAnsi="Times New Roman" w:cs="Times New Roman"/>
        </w:rPr>
        <w:t xml:space="preserve"> had no authority to contract on behalf of other group companies nor was there any evidence that it purported to do so.</w:t>
      </w:r>
      <w:r w:rsidR="006A5281">
        <w:rPr>
          <w:rStyle w:val="ab"/>
          <w:rFonts w:ascii="Times New Roman" w:hAnsi="Times New Roman" w:cs="Times New Roman"/>
        </w:rPr>
        <w:footnoteReference w:id="41"/>
      </w:r>
      <w:r w:rsidR="006A5281">
        <w:rPr>
          <w:rFonts w:ascii="Times New Roman" w:hAnsi="Times New Roman" w:cs="Times New Roman"/>
        </w:rPr>
        <w:t xml:space="preserve"> </w:t>
      </w:r>
      <w:r w:rsidR="003F1447">
        <w:rPr>
          <w:rFonts w:ascii="Times New Roman" w:hAnsi="Times New Roman" w:cs="Times New Roman"/>
        </w:rPr>
        <w:t xml:space="preserve"> Nor did </w:t>
      </w:r>
      <w:r w:rsidR="006A5281">
        <w:rPr>
          <w:rFonts w:ascii="Times New Roman" w:hAnsi="Times New Roman" w:cs="Times New Roman"/>
        </w:rPr>
        <w:t>the Court</w:t>
      </w:r>
      <w:r w:rsidR="003F1447">
        <w:rPr>
          <w:rFonts w:ascii="Times New Roman" w:hAnsi="Times New Roman" w:cs="Times New Roman"/>
        </w:rPr>
        <w:t xml:space="preserve"> seem unhappy about the</w:t>
      </w:r>
      <w:r w:rsidR="00B4549D">
        <w:rPr>
          <w:rFonts w:ascii="Times New Roman" w:hAnsi="Times New Roman" w:cs="Times New Roman"/>
        </w:rPr>
        <w:t xml:space="preserve"> </w:t>
      </w:r>
      <w:r w:rsidR="003F1447">
        <w:rPr>
          <w:rFonts w:ascii="Times New Roman" w:hAnsi="Times New Roman" w:cs="Times New Roman"/>
        </w:rPr>
        <w:t>result: “</w:t>
      </w:r>
      <w:r w:rsidR="003F1447" w:rsidRPr="003F1447">
        <w:rPr>
          <w:rFonts w:ascii="Times New Roman" w:hAnsi="Times New Roman" w:cs="Times New Roman"/>
        </w:rPr>
        <w:t>If a company chooses to arrange the aﬀairs of its group in such a way that the business carried on in a particular foreign country is the business of its subsidiary and not its own, it is, in our judgment, entitled to do so.</w:t>
      </w:r>
      <w:r w:rsidR="003F1447">
        <w:rPr>
          <w:rFonts w:ascii="Times New Roman" w:hAnsi="Times New Roman" w:cs="Times New Roman"/>
        </w:rPr>
        <w:t>”</w:t>
      </w:r>
      <w:r w:rsidR="003F1447">
        <w:rPr>
          <w:rStyle w:val="ab"/>
          <w:rFonts w:ascii="Times New Roman" w:hAnsi="Times New Roman" w:cs="Times New Roman"/>
        </w:rPr>
        <w:footnoteReference w:id="42"/>
      </w:r>
    </w:p>
    <w:p w14:paraId="296B9AA3" w14:textId="5B0943D3" w:rsidR="00E932B4" w:rsidRDefault="00E932B4" w:rsidP="00B71028">
      <w:pPr>
        <w:spacing w:line="276" w:lineRule="auto"/>
        <w:jc w:val="both"/>
        <w:rPr>
          <w:rFonts w:ascii="Times New Roman" w:hAnsi="Times New Roman" w:cs="Times New Roman"/>
        </w:rPr>
      </w:pPr>
      <w:r>
        <w:rPr>
          <w:rFonts w:ascii="Times New Roman" w:hAnsi="Times New Roman" w:cs="Times New Roman"/>
        </w:rPr>
        <w:t xml:space="preserve">In relation to CPC these two arguments failed </w:t>
      </w:r>
      <w:r>
        <w:rPr>
          <w:rFonts w:ascii="Times New Roman" w:hAnsi="Times New Roman" w:cs="Times New Roman"/>
          <w:i/>
          <w:iCs/>
        </w:rPr>
        <w:t>a fortiori</w:t>
      </w:r>
      <w:r>
        <w:rPr>
          <w:rFonts w:ascii="Times New Roman" w:hAnsi="Times New Roman" w:cs="Times New Roman"/>
        </w:rPr>
        <w:t>.</w:t>
      </w:r>
      <w:r w:rsidR="004A603B">
        <w:rPr>
          <w:rStyle w:val="ab"/>
          <w:rFonts w:ascii="Times New Roman" w:hAnsi="Times New Roman" w:cs="Times New Roman"/>
        </w:rPr>
        <w:footnoteReference w:id="43"/>
      </w:r>
      <w:r>
        <w:rPr>
          <w:rFonts w:ascii="Times New Roman" w:hAnsi="Times New Roman" w:cs="Times New Roman"/>
        </w:rPr>
        <w:t xml:space="preserve"> So, the appellants fell back on the argument that CPC was a façade, mainly </w:t>
      </w:r>
      <w:proofErr w:type="gramStart"/>
      <w:r>
        <w:rPr>
          <w:rFonts w:ascii="Times New Roman" w:hAnsi="Times New Roman" w:cs="Times New Roman"/>
        </w:rPr>
        <w:t>on the basis of</w:t>
      </w:r>
      <w:proofErr w:type="gramEnd"/>
      <w:r>
        <w:rPr>
          <w:rFonts w:ascii="Times New Roman" w:hAnsi="Times New Roman" w:cs="Times New Roman"/>
        </w:rPr>
        <w:t xml:space="preserve"> the Court of Appeal’s assessment of Cape’s purpose in establishing it in place of </w:t>
      </w:r>
      <w:r w:rsidR="007D56B5">
        <w:rPr>
          <w:rFonts w:ascii="Times New Roman" w:hAnsi="Times New Roman" w:cs="Times New Roman"/>
        </w:rPr>
        <w:t>NAAC</w:t>
      </w:r>
      <w:r>
        <w:rPr>
          <w:rFonts w:ascii="Times New Roman" w:hAnsi="Times New Roman" w:cs="Times New Roman"/>
        </w:rPr>
        <w:t xml:space="preserve">. </w:t>
      </w:r>
      <w:r w:rsidR="00124683">
        <w:rPr>
          <w:rFonts w:ascii="Times New Roman" w:hAnsi="Times New Roman" w:cs="Times New Roman"/>
        </w:rPr>
        <w:t xml:space="preserve">The Court </w:t>
      </w:r>
      <w:proofErr w:type="gramStart"/>
      <w:r w:rsidR="00124683">
        <w:rPr>
          <w:rFonts w:ascii="Times New Roman" w:hAnsi="Times New Roman" w:cs="Times New Roman"/>
        </w:rPr>
        <w:t>was of the opinion that</w:t>
      </w:r>
      <w:proofErr w:type="gramEnd"/>
      <w:r w:rsidR="00124683">
        <w:rPr>
          <w:rFonts w:ascii="Times New Roman" w:hAnsi="Times New Roman" w:cs="Times New Roman"/>
        </w:rPr>
        <w:t xml:space="preserve"> the decided cases gave it only “sparse guidance” on how to approach the</w:t>
      </w:r>
      <w:r w:rsidR="00124683" w:rsidRPr="00124683">
        <w:rPr>
          <w:rFonts w:ascii="Times New Roman" w:hAnsi="Times New Roman" w:cs="Times New Roman"/>
        </w:rPr>
        <w:t xml:space="preserve"> </w:t>
      </w:r>
      <w:r w:rsidR="00124683">
        <w:rPr>
          <w:rFonts w:ascii="Times New Roman" w:hAnsi="Times New Roman" w:cs="Times New Roman"/>
        </w:rPr>
        <w:t xml:space="preserve">façade issue. It concluded that the most favourable way of putting the appellants’ case was that the court </w:t>
      </w:r>
      <w:r w:rsidR="002C0E59">
        <w:rPr>
          <w:rFonts w:ascii="Times New Roman" w:hAnsi="Times New Roman" w:cs="Times New Roman"/>
        </w:rPr>
        <w:t>sh</w:t>
      </w:r>
      <w:r w:rsidR="00124683">
        <w:rPr>
          <w:rFonts w:ascii="Times New Roman" w:hAnsi="Times New Roman" w:cs="Times New Roman"/>
        </w:rPr>
        <w:t xml:space="preserve">ould lift the corporate veil where the corporate structure was being used “to evade </w:t>
      </w:r>
      <w:r w:rsidR="00124683" w:rsidRPr="00124683">
        <w:rPr>
          <w:rFonts w:ascii="Times New Roman" w:hAnsi="Times New Roman" w:cs="Times New Roman"/>
        </w:rPr>
        <w:t>such rights of relief as third parties may in the future acquire</w:t>
      </w:r>
      <w:r w:rsidR="00124683">
        <w:rPr>
          <w:rFonts w:ascii="Times New Roman" w:hAnsi="Times New Roman" w:cs="Times New Roman"/>
        </w:rPr>
        <w:t>.”</w:t>
      </w:r>
      <w:r w:rsidR="00124683">
        <w:rPr>
          <w:rStyle w:val="ab"/>
          <w:rFonts w:ascii="Times New Roman" w:hAnsi="Times New Roman" w:cs="Times New Roman"/>
        </w:rPr>
        <w:footnoteReference w:id="44"/>
      </w:r>
      <w:r w:rsidR="00124683">
        <w:rPr>
          <w:rFonts w:ascii="Times New Roman" w:hAnsi="Times New Roman" w:cs="Times New Roman"/>
        </w:rPr>
        <w:t xml:space="preserve"> </w:t>
      </w:r>
      <w:r>
        <w:rPr>
          <w:rFonts w:ascii="Times New Roman" w:hAnsi="Times New Roman" w:cs="Times New Roman"/>
        </w:rPr>
        <w:t xml:space="preserve"> </w:t>
      </w:r>
      <w:r w:rsidR="00124683">
        <w:rPr>
          <w:rFonts w:ascii="Times New Roman" w:hAnsi="Times New Roman" w:cs="Times New Roman"/>
        </w:rPr>
        <w:t>The Court rejected this as a proposition of law.</w:t>
      </w:r>
    </w:p>
    <w:p w14:paraId="3C3E02BE" w14:textId="20EFD8EE" w:rsidR="00124683" w:rsidRDefault="00124683" w:rsidP="00B71028">
      <w:pPr>
        <w:spacing w:line="276" w:lineRule="auto"/>
        <w:ind w:left="283" w:right="283"/>
        <w:jc w:val="both"/>
        <w:rPr>
          <w:rFonts w:ascii="Times New Roman" w:hAnsi="Times New Roman" w:cs="Times New Roman"/>
        </w:rPr>
      </w:pPr>
      <w:r>
        <w:rPr>
          <w:rFonts w:ascii="Times New Roman" w:hAnsi="Times New Roman" w:cs="Times New Roman"/>
        </w:rPr>
        <w:t>[Counsel for the appellants] “</w:t>
      </w:r>
      <w:r w:rsidRPr="00124683">
        <w:rPr>
          <w:rFonts w:ascii="Times New Roman" w:hAnsi="Times New Roman" w:cs="Times New Roman"/>
        </w:rPr>
        <w:t xml:space="preserve">urged on us that the purpose of the operation was in substance that Cape would have the practical benefit of the group's asbestos trade in the </w:t>
      </w:r>
      <w:r w:rsidRPr="00124683">
        <w:rPr>
          <w:rFonts w:ascii="Times New Roman" w:hAnsi="Times New Roman" w:cs="Times New Roman"/>
        </w:rPr>
        <w:lastRenderedPageBreak/>
        <w:t xml:space="preserve">United States of America without the risks of tortious liability. This may be so. However, in our judgment, Cape was in law entitled to organise the group's aﬀairs in that manner and (save in the case of A.M.C. to which special considerations apply) to expect that the court would apply the principle of </w:t>
      </w:r>
      <w:r w:rsidRPr="00124683">
        <w:rPr>
          <w:rFonts w:ascii="Times New Roman" w:hAnsi="Times New Roman" w:cs="Times New Roman"/>
          <w:i/>
          <w:iCs/>
        </w:rPr>
        <w:t>Salomon v. A. Salomon &amp; Co. Ltd.</w:t>
      </w:r>
      <w:r w:rsidRPr="00124683">
        <w:rPr>
          <w:rFonts w:ascii="Times New Roman" w:hAnsi="Times New Roman" w:cs="Times New Roman"/>
        </w:rPr>
        <w:t xml:space="preserve"> [1897] A.C. 22 in the ordinary way.</w:t>
      </w:r>
      <w:r>
        <w:rPr>
          <w:rFonts w:ascii="Times New Roman" w:hAnsi="Times New Roman" w:cs="Times New Roman"/>
        </w:rPr>
        <w:t>”</w:t>
      </w:r>
      <w:r>
        <w:rPr>
          <w:rStyle w:val="ab"/>
          <w:rFonts w:ascii="Times New Roman" w:hAnsi="Times New Roman" w:cs="Times New Roman"/>
        </w:rPr>
        <w:footnoteReference w:id="45"/>
      </w:r>
    </w:p>
    <w:p w14:paraId="7A9E12AF" w14:textId="53B82E08" w:rsidR="002C0E59" w:rsidRDefault="002C0E59" w:rsidP="00B71028">
      <w:pPr>
        <w:spacing w:line="276" w:lineRule="auto"/>
        <w:jc w:val="both"/>
        <w:rPr>
          <w:rFonts w:ascii="Times New Roman" w:hAnsi="Times New Roman" w:cs="Times New Roman"/>
        </w:rPr>
      </w:pPr>
      <w:r>
        <w:rPr>
          <w:rFonts w:ascii="Times New Roman" w:hAnsi="Times New Roman" w:cs="Times New Roman"/>
        </w:rPr>
        <w:t xml:space="preserve">So, </w:t>
      </w:r>
      <w:r>
        <w:rPr>
          <w:rFonts w:ascii="Times New Roman" w:hAnsi="Times New Roman" w:cs="Times New Roman"/>
          <w:i/>
          <w:iCs/>
        </w:rPr>
        <w:t xml:space="preserve">Salomon </w:t>
      </w:r>
      <w:r>
        <w:rPr>
          <w:rFonts w:ascii="Times New Roman" w:hAnsi="Times New Roman" w:cs="Times New Roman"/>
        </w:rPr>
        <w:t xml:space="preserve">triumphed in the Court of Appeal’s decision of 1989, through a strong commitment to approaching </w:t>
      </w:r>
      <w:r w:rsidR="00B4549D">
        <w:rPr>
          <w:rFonts w:ascii="Times New Roman" w:hAnsi="Times New Roman" w:cs="Times New Roman"/>
        </w:rPr>
        <w:t>the</w:t>
      </w:r>
      <w:r>
        <w:rPr>
          <w:rFonts w:ascii="Times New Roman" w:hAnsi="Times New Roman" w:cs="Times New Roman"/>
        </w:rPr>
        <w:t xml:space="preserve"> issue via a firm endorsement of the conceptual structure of corporate law. However, it is not clear that the English courts were outliers in </w:t>
      </w:r>
      <w:r w:rsidR="00B4549D">
        <w:rPr>
          <w:rFonts w:ascii="Times New Roman" w:hAnsi="Times New Roman" w:cs="Times New Roman"/>
        </w:rPr>
        <w:t>relation to the overall result of no liability. The same result might be achieved in</w:t>
      </w:r>
      <w:r>
        <w:rPr>
          <w:rFonts w:ascii="Times New Roman" w:hAnsi="Times New Roman" w:cs="Times New Roman"/>
        </w:rPr>
        <w:t xml:space="preserve"> a legal system more open to group liability</w:t>
      </w:r>
      <w:r w:rsidR="00B4549D">
        <w:rPr>
          <w:rFonts w:ascii="Times New Roman" w:hAnsi="Times New Roman" w:cs="Times New Roman"/>
        </w:rPr>
        <w:t>, depending on how the group liability rule was framed.</w:t>
      </w:r>
      <w:r>
        <w:rPr>
          <w:rFonts w:ascii="Times New Roman" w:hAnsi="Times New Roman" w:cs="Times New Roman"/>
        </w:rPr>
        <w:t xml:space="preserve"> Thus, at the same time as Cape plc was defending itself in the English courts, its majority shareholder, Charter Consolidated plc, was being sued in the United States, again under the federal courts’ diversity jurisdiction, but this time raising an issue of the law of New Jersey.</w:t>
      </w:r>
      <w:r>
        <w:rPr>
          <w:rStyle w:val="ab"/>
          <w:rFonts w:ascii="Times New Roman" w:hAnsi="Times New Roman" w:cs="Times New Roman"/>
        </w:rPr>
        <w:footnoteReference w:id="46"/>
      </w:r>
      <w:r>
        <w:rPr>
          <w:rFonts w:ascii="Times New Roman" w:hAnsi="Times New Roman" w:cs="Times New Roman"/>
        </w:rPr>
        <w:t xml:space="preserve"> The plaintiffs were workers or former workers at a plant in operation, this time, in New Jersey. The principal defendant, Lake Asbestos, </w:t>
      </w:r>
      <w:r w:rsidR="00B4549D">
        <w:rPr>
          <w:rFonts w:ascii="Times New Roman" w:hAnsi="Times New Roman" w:cs="Times New Roman"/>
        </w:rPr>
        <w:t xml:space="preserve">a Canadian company, </w:t>
      </w:r>
      <w:r>
        <w:rPr>
          <w:rFonts w:ascii="Times New Roman" w:hAnsi="Times New Roman" w:cs="Times New Roman"/>
        </w:rPr>
        <w:t xml:space="preserve">was a supplier of asbestos to the plant. It settled the workers’ claim but sought to interplead the Cape plc on the grounds that the </w:t>
      </w:r>
      <w:proofErr w:type="gramStart"/>
      <w:r>
        <w:rPr>
          <w:rFonts w:ascii="Times New Roman" w:hAnsi="Times New Roman" w:cs="Times New Roman"/>
        </w:rPr>
        <w:t>Cape  group</w:t>
      </w:r>
      <w:proofErr w:type="gramEnd"/>
      <w:r>
        <w:rPr>
          <w:rFonts w:ascii="Times New Roman" w:hAnsi="Times New Roman" w:cs="Times New Roman"/>
        </w:rPr>
        <w:t xml:space="preserve"> had also supplied asbestos to the plant. Cape plc was in course of implementing its “no show” policy and allowed a default judgment to be entered against it in the interpleader action. This time the claimants’ litigation strategy was to sue the controlling shareholder of Cape plc, namely Charter Consolidated, which had accepted the jurisdiction of the New Jersey court. </w:t>
      </w:r>
    </w:p>
    <w:p w14:paraId="1D3FB997" w14:textId="27DA4713" w:rsidR="002C0E59" w:rsidRDefault="002C0E59" w:rsidP="00B71028">
      <w:pPr>
        <w:spacing w:line="276" w:lineRule="auto"/>
        <w:jc w:val="both"/>
        <w:rPr>
          <w:rFonts w:ascii="Times New Roman" w:hAnsi="Times New Roman" w:cs="Times New Roman"/>
        </w:rPr>
      </w:pPr>
      <w:r>
        <w:rPr>
          <w:rFonts w:ascii="Times New Roman" w:hAnsi="Times New Roman" w:cs="Times New Roman"/>
        </w:rPr>
        <w:t xml:space="preserve">This must have been seen as a more attractive possibility than suing in England, since New Jersey had a doctrine of group liability. But it was a narrow doctrine. This was stated by the </w:t>
      </w:r>
      <w:r w:rsidR="00851600">
        <w:rPr>
          <w:rFonts w:ascii="Times New Roman" w:hAnsi="Times New Roman" w:cs="Times New Roman"/>
        </w:rPr>
        <w:t xml:space="preserve">US </w:t>
      </w:r>
      <w:r>
        <w:rPr>
          <w:rFonts w:ascii="Times New Roman" w:hAnsi="Times New Roman" w:cs="Times New Roman"/>
        </w:rPr>
        <w:t>Court of Appeals to be that:</w:t>
      </w:r>
    </w:p>
    <w:p w14:paraId="30BF8CA1" w14:textId="77777777" w:rsidR="002C0E59" w:rsidRDefault="002C0E59" w:rsidP="00B71028">
      <w:pPr>
        <w:spacing w:line="276" w:lineRule="auto"/>
        <w:ind w:left="283" w:right="283"/>
        <w:jc w:val="both"/>
        <w:rPr>
          <w:rFonts w:ascii="Times New Roman" w:hAnsi="Times New Roman" w:cs="Times New Roman"/>
        </w:rPr>
      </w:pPr>
      <w:r>
        <w:rPr>
          <w:rFonts w:ascii="Times New Roman" w:hAnsi="Times New Roman" w:cs="Times New Roman"/>
        </w:rPr>
        <w:t>“</w:t>
      </w:r>
      <w:r w:rsidRPr="00BC0D50">
        <w:rPr>
          <w:rFonts w:ascii="Times New Roman" w:hAnsi="Times New Roman" w:cs="Times New Roman"/>
        </w:rPr>
        <w:t>the corporate veil may be pierced only where (1) the parent so dominated the subsidiary that it had no separate existence but was merely a conduit for the parent and (2) the parent has abused the privilege of incorporation by using the subsidiary to perpetrate a fraud or injustice, or otherwise to circumvent the law.”</w:t>
      </w:r>
    </w:p>
    <w:p w14:paraId="4670886D" w14:textId="2B621B2F" w:rsidR="002C0E59" w:rsidRDefault="002C0E59" w:rsidP="00B71028">
      <w:pPr>
        <w:spacing w:line="276" w:lineRule="auto"/>
        <w:jc w:val="both"/>
        <w:rPr>
          <w:rFonts w:ascii="Times New Roman" w:hAnsi="Times New Roman" w:cs="Times New Roman"/>
        </w:rPr>
      </w:pPr>
      <w:r>
        <w:rPr>
          <w:rFonts w:ascii="Times New Roman" w:hAnsi="Times New Roman" w:cs="Times New Roman"/>
        </w:rPr>
        <w:t>The Court was prepared to accept that condition (2) might be satisfied on the basis that the purpose of the Cape scheme was to avoid asbestos-injury liability in the United States – a more liberal approach than that adopted by the English court. However, it did not reach a firm conclusion on this point, merely remarking that</w:t>
      </w:r>
      <w:r w:rsidRPr="00866928">
        <w:t xml:space="preserve"> </w:t>
      </w:r>
      <w:r>
        <w:rPr>
          <w:rFonts w:ascii="Times New Roman" w:hAnsi="Times New Roman" w:cs="Times New Roman"/>
        </w:rPr>
        <w:t>“</w:t>
      </w:r>
      <w:r w:rsidRPr="00866928">
        <w:rPr>
          <w:rFonts w:ascii="Times New Roman" w:hAnsi="Times New Roman" w:cs="Times New Roman"/>
        </w:rPr>
        <w:t>evasion of tort liability has never, in itself, been sufficient basis to disregard corporate separateness.</w:t>
      </w:r>
      <w:r>
        <w:rPr>
          <w:rFonts w:ascii="Times New Roman" w:hAnsi="Times New Roman" w:cs="Times New Roman"/>
        </w:rPr>
        <w:t xml:space="preserve">” </w:t>
      </w:r>
      <w:proofErr w:type="gramStart"/>
      <w:r>
        <w:rPr>
          <w:rFonts w:ascii="Times New Roman" w:hAnsi="Times New Roman" w:cs="Times New Roman"/>
        </w:rPr>
        <w:t>But,</w:t>
      </w:r>
      <w:proofErr w:type="gramEnd"/>
      <w:r>
        <w:rPr>
          <w:rFonts w:ascii="Times New Roman" w:hAnsi="Times New Roman" w:cs="Times New Roman"/>
        </w:rPr>
        <w:t xml:space="preserve"> condition (1) was not met. It set a high bar, requiring it to be shown that the company had “no separate mind, will or existence” of its own” in relation to the transaction. This test seems akin to the façade test the English court applied AMC. In consequence, the Cape group escaped again. </w:t>
      </w:r>
    </w:p>
    <w:p w14:paraId="46166EC1" w14:textId="77777777" w:rsidR="004A11B8" w:rsidRDefault="004A11B8" w:rsidP="00B71028">
      <w:pPr>
        <w:spacing w:line="276" w:lineRule="auto"/>
        <w:jc w:val="both"/>
        <w:rPr>
          <w:rFonts w:ascii="Times New Roman" w:hAnsi="Times New Roman" w:cs="Times New Roman"/>
        </w:rPr>
      </w:pPr>
    </w:p>
    <w:p w14:paraId="7B70C7D0" w14:textId="66F1338F" w:rsidR="00124683" w:rsidRPr="00254401" w:rsidRDefault="000321D8" w:rsidP="00B71028">
      <w:pPr>
        <w:pStyle w:val="a6"/>
        <w:numPr>
          <w:ilvl w:val="0"/>
          <w:numId w:val="1"/>
        </w:numPr>
        <w:spacing w:line="276" w:lineRule="auto"/>
        <w:jc w:val="both"/>
        <w:rPr>
          <w:rFonts w:ascii="Times New Roman" w:hAnsi="Times New Roman" w:cs="Times New Roman"/>
          <w:b/>
          <w:bCs/>
        </w:rPr>
      </w:pPr>
      <w:r w:rsidRPr="00254401">
        <w:rPr>
          <w:rFonts w:ascii="Times New Roman" w:hAnsi="Times New Roman" w:cs="Times New Roman"/>
          <w:b/>
          <w:bCs/>
        </w:rPr>
        <w:t xml:space="preserve"> Cape today</w:t>
      </w:r>
    </w:p>
    <w:p w14:paraId="32E84E33" w14:textId="5ED808FA" w:rsidR="00C906DC" w:rsidRDefault="00454F2D" w:rsidP="00B71028">
      <w:pPr>
        <w:spacing w:line="276" w:lineRule="auto"/>
        <w:jc w:val="both"/>
        <w:rPr>
          <w:rFonts w:ascii="Times New Roman" w:hAnsi="Times New Roman" w:cs="Times New Roman"/>
        </w:rPr>
      </w:pPr>
      <w:r>
        <w:rPr>
          <w:rFonts w:ascii="Times New Roman" w:hAnsi="Times New Roman" w:cs="Times New Roman"/>
          <w:i/>
          <w:iCs/>
        </w:rPr>
        <w:lastRenderedPageBreak/>
        <w:t xml:space="preserve">Adams </w:t>
      </w:r>
      <w:r>
        <w:rPr>
          <w:rFonts w:ascii="Times New Roman" w:hAnsi="Times New Roman" w:cs="Times New Roman"/>
        </w:rPr>
        <w:t xml:space="preserve">had a good reception in the </w:t>
      </w:r>
      <w:r w:rsidR="00BC1BA6">
        <w:rPr>
          <w:rFonts w:ascii="Times New Roman" w:hAnsi="Times New Roman" w:cs="Times New Roman"/>
        </w:rPr>
        <w:t xml:space="preserve">UK </w:t>
      </w:r>
      <w:r>
        <w:rPr>
          <w:rFonts w:ascii="Times New Roman" w:hAnsi="Times New Roman" w:cs="Times New Roman"/>
        </w:rPr>
        <w:t xml:space="preserve">courts. In the most recent Supreme Court consideration of separate legal personality, </w:t>
      </w:r>
      <w:proofErr w:type="spellStart"/>
      <w:r>
        <w:rPr>
          <w:rFonts w:ascii="Times New Roman" w:hAnsi="Times New Roman" w:cs="Times New Roman"/>
          <w:i/>
          <w:iCs/>
        </w:rPr>
        <w:t>Petrodel</w:t>
      </w:r>
      <w:proofErr w:type="spellEnd"/>
      <w:r>
        <w:rPr>
          <w:rFonts w:ascii="Times New Roman" w:hAnsi="Times New Roman" w:cs="Times New Roman"/>
          <w:i/>
          <w:iCs/>
        </w:rPr>
        <w:t xml:space="preserve"> Resources Ltd v Prest</w:t>
      </w:r>
      <w:r>
        <w:rPr>
          <w:rStyle w:val="ab"/>
          <w:rFonts w:ascii="Times New Roman" w:hAnsi="Times New Roman" w:cs="Times New Roman"/>
          <w:i/>
          <w:iCs/>
        </w:rPr>
        <w:footnoteReference w:id="47"/>
      </w:r>
      <w:r>
        <w:rPr>
          <w:rFonts w:ascii="Times New Roman" w:hAnsi="Times New Roman" w:cs="Times New Roman"/>
        </w:rPr>
        <w:t xml:space="preserve"> (</w:t>
      </w:r>
      <w:r w:rsidR="00267F6C">
        <w:rPr>
          <w:rFonts w:ascii="Times New Roman" w:hAnsi="Times New Roman" w:cs="Times New Roman"/>
        </w:rPr>
        <w:t xml:space="preserve">a </w:t>
      </w:r>
      <w:r w:rsidR="00DB7E53">
        <w:rPr>
          <w:rFonts w:ascii="Times New Roman" w:hAnsi="Times New Roman" w:cs="Times New Roman"/>
        </w:rPr>
        <w:t xml:space="preserve">family law </w:t>
      </w:r>
      <w:r w:rsidR="00267F6C">
        <w:rPr>
          <w:rFonts w:ascii="Times New Roman" w:hAnsi="Times New Roman" w:cs="Times New Roman"/>
        </w:rPr>
        <w:t xml:space="preserve">case </w:t>
      </w:r>
      <w:r>
        <w:rPr>
          <w:rFonts w:ascii="Times New Roman" w:hAnsi="Times New Roman" w:cs="Times New Roman"/>
        </w:rPr>
        <w:t xml:space="preserve">not involving a tort claimant nor in any significant sense a group structure), Lord Sumption, giving the leading judgement, referred to </w:t>
      </w:r>
      <w:r>
        <w:rPr>
          <w:rFonts w:ascii="Times New Roman" w:hAnsi="Times New Roman" w:cs="Times New Roman"/>
          <w:i/>
          <w:iCs/>
        </w:rPr>
        <w:t>Adams</w:t>
      </w:r>
      <w:r w:rsidR="00BC1BA6">
        <w:rPr>
          <w:rFonts w:ascii="Times New Roman" w:hAnsi="Times New Roman" w:cs="Times New Roman"/>
          <w:i/>
          <w:iCs/>
        </w:rPr>
        <w:t xml:space="preserve"> </w:t>
      </w:r>
      <w:r w:rsidR="00BC1BA6">
        <w:rPr>
          <w:rFonts w:ascii="Times New Roman" w:hAnsi="Times New Roman" w:cs="Times New Roman"/>
        </w:rPr>
        <w:t>as</w:t>
      </w:r>
      <w:r>
        <w:rPr>
          <w:rFonts w:ascii="Times New Roman" w:hAnsi="Times New Roman" w:cs="Times New Roman"/>
          <w:i/>
          <w:iCs/>
        </w:rPr>
        <w:t xml:space="preserve"> </w:t>
      </w:r>
      <w:r>
        <w:rPr>
          <w:rFonts w:ascii="Times New Roman" w:hAnsi="Times New Roman" w:cs="Times New Roman"/>
        </w:rPr>
        <w:t>“the first systematic analysis of the large and disparate body of English case law” on piercing the veil.</w:t>
      </w:r>
      <w:r>
        <w:rPr>
          <w:rStyle w:val="ab"/>
          <w:rFonts w:ascii="Times New Roman" w:hAnsi="Times New Roman" w:cs="Times New Roman"/>
        </w:rPr>
        <w:footnoteReference w:id="48"/>
      </w:r>
      <w:r>
        <w:rPr>
          <w:rFonts w:ascii="Times New Roman" w:hAnsi="Times New Roman" w:cs="Times New Roman"/>
        </w:rPr>
        <w:t xml:space="preserve"> He quoted with approval the rejection in </w:t>
      </w:r>
      <w:r>
        <w:rPr>
          <w:rFonts w:ascii="Times New Roman" w:hAnsi="Times New Roman" w:cs="Times New Roman"/>
          <w:i/>
          <w:iCs/>
        </w:rPr>
        <w:t xml:space="preserve">Adams </w:t>
      </w:r>
      <w:r>
        <w:rPr>
          <w:rFonts w:ascii="Times New Roman" w:hAnsi="Times New Roman" w:cs="Times New Roman"/>
        </w:rPr>
        <w:t>of the notion that the interests of justice were a ground for veil piercing.</w:t>
      </w:r>
      <w:r>
        <w:rPr>
          <w:rStyle w:val="ab"/>
          <w:rFonts w:ascii="Times New Roman" w:hAnsi="Times New Roman" w:cs="Times New Roman"/>
        </w:rPr>
        <w:footnoteReference w:id="49"/>
      </w:r>
      <w:r w:rsidR="00160C81">
        <w:rPr>
          <w:rFonts w:ascii="Times New Roman" w:hAnsi="Times New Roman" w:cs="Times New Roman"/>
        </w:rPr>
        <w:t xml:space="preserve"> Overall, “for years after it was decided, </w:t>
      </w:r>
      <w:r w:rsidR="00160C81">
        <w:rPr>
          <w:rFonts w:ascii="Times New Roman" w:hAnsi="Times New Roman" w:cs="Times New Roman"/>
          <w:i/>
          <w:iCs/>
        </w:rPr>
        <w:t xml:space="preserve">Adams v Cape Industries </w:t>
      </w:r>
      <w:r w:rsidR="00160C81">
        <w:rPr>
          <w:rFonts w:ascii="Times New Roman" w:hAnsi="Times New Roman" w:cs="Times New Roman"/>
        </w:rPr>
        <w:t>was regarded as having settled the general law on [veil piercing].”</w:t>
      </w:r>
      <w:r w:rsidR="00160C81">
        <w:rPr>
          <w:rStyle w:val="ab"/>
          <w:rFonts w:ascii="Times New Roman" w:hAnsi="Times New Roman" w:cs="Times New Roman"/>
        </w:rPr>
        <w:footnoteReference w:id="50"/>
      </w:r>
      <w:r w:rsidR="00267F6C">
        <w:rPr>
          <w:rFonts w:ascii="Times New Roman" w:hAnsi="Times New Roman" w:cs="Times New Roman"/>
        </w:rPr>
        <w:t xml:space="preserve"> Lord Sumption himself was in favour of </w:t>
      </w:r>
      <w:r w:rsidR="00DB7E53">
        <w:rPr>
          <w:rFonts w:ascii="Times New Roman" w:hAnsi="Times New Roman" w:cs="Times New Roman"/>
        </w:rPr>
        <w:t xml:space="preserve">going further than </w:t>
      </w:r>
      <w:r w:rsidR="00DB7E53">
        <w:rPr>
          <w:rFonts w:ascii="Times New Roman" w:hAnsi="Times New Roman" w:cs="Times New Roman"/>
          <w:i/>
          <w:iCs/>
        </w:rPr>
        <w:t>Adams</w:t>
      </w:r>
      <w:r w:rsidR="00DB7E53">
        <w:rPr>
          <w:rFonts w:ascii="Times New Roman" w:hAnsi="Times New Roman" w:cs="Times New Roman"/>
        </w:rPr>
        <w:t xml:space="preserve">, not merely endorsing its rejection of particular arguments in favour of veil piercing but articulating a general principle of when veil piercing would be permissible. This was only when a corporation was used to evade a person’s existing legal obligation (and so, not in </w:t>
      </w:r>
      <w:r w:rsidR="00DB7E53">
        <w:rPr>
          <w:rFonts w:ascii="Times New Roman" w:hAnsi="Times New Roman" w:cs="Times New Roman"/>
          <w:i/>
          <w:iCs/>
        </w:rPr>
        <w:t>Adams</w:t>
      </w:r>
      <w:r w:rsidR="00DB7E53">
        <w:rPr>
          <w:rFonts w:ascii="Times New Roman" w:hAnsi="Times New Roman" w:cs="Times New Roman"/>
        </w:rPr>
        <w:t>, where protection against the future liabilities of Cape plc was the object of the group structure).</w:t>
      </w:r>
      <w:r w:rsidR="00DB7E53">
        <w:rPr>
          <w:rStyle w:val="ab"/>
          <w:rFonts w:ascii="Times New Roman" w:hAnsi="Times New Roman" w:cs="Times New Roman"/>
        </w:rPr>
        <w:footnoteReference w:id="51"/>
      </w:r>
      <w:r w:rsidR="00DB7E53">
        <w:rPr>
          <w:rFonts w:ascii="Times New Roman" w:hAnsi="Times New Roman" w:cs="Times New Roman"/>
        </w:rPr>
        <w:t xml:space="preserve"> However, the other judges were more cautious about making this move.</w:t>
      </w:r>
    </w:p>
    <w:p w14:paraId="33E40235" w14:textId="759B2F8B" w:rsidR="00E85808" w:rsidRDefault="00A05188" w:rsidP="00B71028">
      <w:pPr>
        <w:spacing w:line="276" w:lineRule="auto"/>
        <w:jc w:val="both"/>
        <w:rPr>
          <w:rFonts w:ascii="Times New Roman" w:hAnsi="Times New Roman" w:cs="Times New Roman"/>
        </w:rPr>
      </w:pPr>
      <w:r>
        <w:rPr>
          <w:rFonts w:ascii="Times New Roman" w:hAnsi="Times New Roman" w:cs="Times New Roman"/>
        </w:rPr>
        <w:t xml:space="preserve">However, </w:t>
      </w:r>
      <w:r>
        <w:rPr>
          <w:rFonts w:ascii="Times New Roman" w:hAnsi="Times New Roman" w:cs="Times New Roman"/>
          <w:i/>
        </w:rPr>
        <w:t xml:space="preserve">Adams </w:t>
      </w:r>
      <w:r>
        <w:rPr>
          <w:rFonts w:ascii="Times New Roman" w:hAnsi="Times New Roman" w:cs="Times New Roman"/>
        </w:rPr>
        <w:t xml:space="preserve">was by no means the end of the story as far as tort claimants </w:t>
      </w:r>
      <w:r w:rsidR="00B71028">
        <w:rPr>
          <w:rFonts w:ascii="Times New Roman" w:hAnsi="Times New Roman" w:cs="Times New Roman"/>
        </w:rPr>
        <w:t xml:space="preserve">within corporate groups </w:t>
      </w:r>
      <w:r>
        <w:rPr>
          <w:rFonts w:ascii="Times New Roman" w:hAnsi="Times New Roman" w:cs="Times New Roman"/>
        </w:rPr>
        <w:t xml:space="preserve">were concerned. There is no doubt that the Cape group set-up leaves a bad taste in the mouth. As the US Court of Appeals stated in </w:t>
      </w:r>
      <w:r>
        <w:rPr>
          <w:rFonts w:ascii="Times New Roman" w:hAnsi="Times New Roman" w:cs="Times New Roman"/>
          <w:i/>
          <w:iCs/>
        </w:rPr>
        <w:t>Lake Asbestos</w:t>
      </w:r>
      <w:r>
        <w:rPr>
          <w:rFonts w:ascii="Times New Roman" w:hAnsi="Times New Roman" w:cs="Times New Roman"/>
        </w:rPr>
        <w:t>, while denying that the controlling shareholder was liable for the harm, “</w:t>
      </w:r>
      <w:r w:rsidRPr="00A05188">
        <w:rPr>
          <w:rFonts w:ascii="Times New Roman" w:hAnsi="Times New Roman" w:cs="Times New Roman"/>
        </w:rPr>
        <w:t>we appreciate the district court's sensitivity to the asbestos victim's lack of redress under a</w:t>
      </w:r>
      <w:r>
        <w:rPr>
          <w:rFonts w:ascii="Times New Roman" w:hAnsi="Times New Roman" w:cs="Times New Roman"/>
        </w:rPr>
        <w:t xml:space="preserve"> </w:t>
      </w:r>
      <w:r w:rsidRPr="00A05188">
        <w:rPr>
          <w:rFonts w:ascii="Times New Roman" w:hAnsi="Times New Roman" w:cs="Times New Roman"/>
        </w:rPr>
        <w:t>scenario whereby the seller of the injurious material (NAAC) is dissolved, its parent (Cape) suffers default judgments that may be uncollectible, and nevertheless the product from the same source continues to be sold and distributed in the United States</w:t>
      </w:r>
      <w:r>
        <w:rPr>
          <w:rFonts w:ascii="Times New Roman" w:hAnsi="Times New Roman" w:cs="Times New Roman"/>
        </w:rPr>
        <w:t>.”</w:t>
      </w:r>
      <w:r>
        <w:rPr>
          <w:rStyle w:val="ab"/>
          <w:rFonts w:ascii="Times New Roman" w:hAnsi="Times New Roman" w:cs="Times New Roman"/>
        </w:rPr>
        <w:footnoteReference w:id="52"/>
      </w:r>
      <w:r>
        <w:rPr>
          <w:rFonts w:ascii="Times New Roman" w:hAnsi="Times New Roman" w:cs="Times New Roman"/>
        </w:rPr>
        <w:t xml:space="preserve"> </w:t>
      </w:r>
      <w:r w:rsidR="00E85808">
        <w:rPr>
          <w:rFonts w:ascii="Times New Roman" w:hAnsi="Times New Roman" w:cs="Times New Roman"/>
        </w:rPr>
        <w:t xml:space="preserve">Further, the argument for permitting entity shielding within groups in order to facilitate high-risk innovations has no traction </w:t>
      </w:r>
      <w:r w:rsidR="004D4AEC">
        <w:rPr>
          <w:rFonts w:ascii="Times New Roman" w:hAnsi="Times New Roman" w:cs="Times New Roman"/>
        </w:rPr>
        <w:t>in  this case</w:t>
      </w:r>
      <w:r w:rsidR="00E85808">
        <w:rPr>
          <w:rFonts w:ascii="Times New Roman" w:hAnsi="Times New Roman" w:cs="Times New Roman"/>
        </w:rPr>
        <w:t xml:space="preserve">. It is impossible to see the mining and distribution of asbestos in the last quarter of the twentieth century as an innovative activity against whose risks a corporate group should be able to protect itself, </w:t>
      </w:r>
      <w:proofErr w:type="gramStart"/>
      <w:r w:rsidR="00E85808">
        <w:rPr>
          <w:rFonts w:ascii="Times New Roman" w:hAnsi="Times New Roman" w:cs="Times New Roman"/>
        </w:rPr>
        <w:t>in order to</w:t>
      </w:r>
      <w:proofErr w:type="gramEnd"/>
      <w:r w:rsidR="00E85808">
        <w:rPr>
          <w:rFonts w:ascii="Times New Roman" w:hAnsi="Times New Roman" w:cs="Times New Roman"/>
        </w:rPr>
        <w:t xml:space="preserve"> promote an innovation which might have significant societal benefits in the future.</w:t>
      </w:r>
      <w:r w:rsidR="00B71028">
        <w:rPr>
          <w:rFonts w:ascii="Times New Roman" w:hAnsi="Times New Roman" w:cs="Times New Roman"/>
        </w:rPr>
        <w:t xml:space="preserve"> Rather the story reads more like the </w:t>
      </w:r>
      <w:proofErr w:type="gramStart"/>
      <w:r w:rsidR="00B71028">
        <w:rPr>
          <w:rFonts w:ascii="Times New Roman" w:hAnsi="Times New Roman" w:cs="Times New Roman"/>
        </w:rPr>
        <w:t>end-game</w:t>
      </w:r>
      <w:proofErr w:type="gramEnd"/>
      <w:r w:rsidR="00B71028">
        <w:rPr>
          <w:rFonts w:ascii="Times New Roman" w:hAnsi="Times New Roman" w:cs="Times New Roman"/>
        </w:rPr>
        <w:t xml:space="preserve"> of a legacy industry whose controllers were desperate to extract the greatest value from their sunk investments</w:t>
      </w:r>
      <w:r w:rsidR="00E85808">
        <w:rPr>
          <w:rFonts w:ascii="Times New Roman" w:hAnsi="Times New Roman" w:cs="Times New Roman"/>
        </w:rPr>
        <w:t xml:space="preserve"> </w:t>
      </w:r>
      <w:r w:rsidR="00B71028">
        <w:rPr>
          <w:rFonts w:ascii="Times New Roman" w:hAnsi="Times New Roman" w:cs="Times New Roman"/>
        </w:rPr>
        <w:t>before litigation or regulation put a stop to it all.</w:t>
      </w:r>
    </w:p>
    <w:p w14:paraId="391412D9" w14:textId="236D7485" w:rsidR="00A05188" w:rsidRDefault="00E85808" w:rsidP="00B71028">
      <w:pPr>
        <w:spacing w:line="276" w:lineRule="auto"/>
        <w:jc w:val="both"/>
        <w:rPr>
          <w:rFonts w:ascii="Times New Roman" w:hAnsi="Times New Roman" w:cs="Times New Roman"/>
        </w:rPr>
      </w:pPr>
      <w:r>
        <w:rPr>
          <w:rFonts w:ascii="Times New Roman" w:hAnsi="Times New Roman" w:cs="Times New Roman"/>
        </w:rPr>
        <w:t>Perhaps responding to these arguments, at least subconsciously, t</w:t>
      </w:r>
      <w:r w:rsidR="00A05188">
        <w:rPr>
          <w:rFonts w:ascii="Times New Roman" w:hAnsi="Times New Roman" w:cs="Times New Roman"/>
        </w:rPr>
        <w:t>he English courts</w:t>
      </w:r>
      <w:r w:rsidRPr="00E85808">
        <w:rPr>
          <w:rFonts w:ascii="Times New Roman" w:hAnsi="Times New Roman" w:cs="Times New Roman"/>
        </w:rPr>
        <w:t xml:space="preserve"> </w:t>
      </w:r>
      <w:r>
        <w:rPr>
          <w:rFonts w:ascii="Times New Roman" w:hAnsi="Times New Roman" w:cs="Times New Roman"/>
        </w:rPr>
        <w:t xml:space="preserve">in a series of later decisions, sometimes involving the same group as in </w:t>
      </w:r>
      <w:r>
        <w:rPr>
          <w:rFonts w:ascii="Times New Roman" w:hAnsi="Times New Roman" w:cs="Times New Roman"/>
          <w:i/>
        </w:rPr>
        <w:t>Adams</w:t>
      </w:r>
      <w:r>
        <w:rPr>
          <w:rFonts w:ascii="Times New Roman" w:hAnsi="Times New Roman" w:cs="Times New Roman"/>
          <w:iCs/>
        </w:rPr>
        <w:t>,</w:t>
      </w:r>
      <w:r w:rsidR="00A05188">
        <w:rPr>
          <w:rFonts w:ascii="Times New Roman" w:hAnsi="Times New Roman" w:cs="Times New Roman"/>
        </w:rPr>
        <w:t xml:space="preserve"> made use of the law of tort to create a duty of care owed directly by the parent company to those harmed by the actions of its subsidiary, provided the parent exercised the required degree of managerial control over the subsidiary. These “parent control” cases </w:t>
      </w:r>
      <w:proofErr w:type="gramStart"/>
      <w:r w:rsidR="00A05188">
        <w:rPr>
          <w:rFonts w:ascii="Times New Roman" w:hAnsi="Times New Roman" w:cs="Times New Roman"/>
        </w:rPr>
        <w:t>are capable of generating</w:t>
      </w:r>
      <w:proofErr w:type="gramEnd"/>
      <w:r w:rsidR="00A05188">
        <w:rPr>
          <w:rFonts w:ascii="Times New Roman" w:hAnsi="Times New Roman" w:cs="Times New Roman"/>
        </w:rPr>
        <w:t xml:space="preserve"> a broad set of circumstances in which the parent will be liable for tortious conduct occurring within the subsidiary, thus circumventing the separate corporate personality objection. Second, in a doctrinally separate development, the courts have expanded the exceptions to the general principle that there is no liability in tort for harm caused to others </w:t>
      </w:r>
      <w:proofErr w:type="gramStart"/>
      <w:r w:rsidR="00A05188">
        <w:rPr>
          <w:rFonts w:ascii="Times New Roman" w:hAnsi="Times New Roman" w:cs="Times New Roman"/>
        </w:rPr>
        <w:t>as a result of</w:t>
      </w:r>
      <w:proofErr w:type="gramEnd"/>
      <w:r w:rsidR="00A05188">
        <w:rPr>
          <w:rFonts w:ascii="Times New Roman" w:hAnsi="Times New Roman" w:cs="Times New Roman"/>
        </w:rPr>
        <w:t xml:space="preserve"> the intervention </w:t>
      </w:r>
      <w:r w:rsidR="00A05188">
        <w:rPr>
          <w:rFonts w:ascii="Times New Roman" w:hAnsi="Times New Roman" w:cs="Times New Roman"/>
        </w:rPr>
        <w:lastRenderedPageBreak/>
        <w:t>of a third party. In a corporate context, this is a narrower basis of liability than the managerial control theory</w:t>
      </w:r>
      <w:r w:rsidR="00F34A20">
        <w:rPr>
          <w:rFonts w:ascii="Times New Roman" w:hAnsi="Times New Roman" w:cs="Times New Roman"/>
        </w:rPr>
        <w:t xml:space="preserve">. This doctrine has been applied </w:t>
      </w:r>
      <w:proofErr w:type="gramStart"/>
      <w:r w:rsidR="00F34A20">
        <w:rPr>
          <w:rFonts w:ascii="Times New Roman" w:hAnsi="Times New Roman" w:cs="Times New Roman"/>
        </w:rPr>
        <w:t>so as to</w:t>
      </w:r>
      <w:proofErr w:type="gramEnd"/>
      <w:r w:rsidR="00F34A20">
        <w:rPr>
          <w:rFonts w:ascii="Times New Roman" w:hAnsi="Times New Roman" w:cs="Times New Roman"/>
        </w:rPr>
        <w:t xml:space="preserve"> catch harm inflicted by contractors</w:t>
      </w:r>
      <w:r w:rsidR="00A05188">
        <w:rPr>
          <w:rFonts w:ascii="Times New Roman" w:hAnsi="Times New Roman" w:cs="Times New Roman"/>
        </w:rPr>
        <w:t xml:space="preserve">, </w:t>
      </w:r>
      <w:r w:rsidR="00F34A20">
        <w:rPr>
          <w:rFonts w:ascii="Times New Roman" w:hAnsi="Times New Roman" w:cs="Times New Roman"/>
        </w:rPr>
        <w:t>as we shall see, but it is worth noting that the managerial control theory is also capable of applying to corporate contractors, as well as to subsidiaries, even though it has not so far been applied in this context.</w:t>
      </w:r>
    </w:p>
    <w:p w14:paraId="441B1D41" w14:textId="6F625951" w:rsidR="00A05188" w:rsidRPr="0052012F" w:rsidRDefault="00A05188" w:rsidP="00B71028">
      <w:pPr>
        <w:pStyle w:val="a6"/>
        <w:numPr>
          <w:ilvl w:val="0"/>
          <w:numId w:val="6"/>
        </w:numPr>
        <w:spacing w:line="276" w:lineRule="auto"/>
        <w:jc w:val="both"/>
        <w:rPr>
          <w:rFonts w:ascii="Times New Roman" w:hAnsi="Times New Roman" w:cs="Times New Roman"/>
        </w:rPr>
      </w:pPr>
      <w:r w:rsidRPr="006D02AD">
        <w:rPr>
          <w:rFonts w:ascii="Times New Roman" w:hAnsi="Times New Roman" w:cs="Times New Roman"/>
        </w:rPr>
        <w:t>Managerial Control Theory</w:t>
      </w:r>
    </w:p>
    <w:p w14:paraId="5A652D18" w14:textId="1B5277B8" w:rsidR="00A05188" w:rsidRPr="000A79E0" w:rsidRDefault="00A05188" w:rsidP="00B71028">
      <w:pPr>
        <w:spacing w:line="276" w:lineRule="auto"/>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rPr>
        <w:t>Chandler v Cape plc</w:t>
      </w:r>
      <w:r w:rsidRPr="00993419">
        <w:rPr>
          <w:rStyle w:val="ab"/>
          <w:rFonts w:ascii="Times New Roman" w:hAnsi="Times New Roman" w:cs="Times New Roman"/>
        </w:rPr>
        <w:footnoteReference w:id="53"/>
      </w:r>
      <w:r>
        <w:rPr>
          <w:rFonts w:ascii="Times New Roman" w:hAnsi="Times New Roman" w:cs="Times New Roman"/>
          <w:i/>
        </w:rPr>
        <w:t xml:space="preserve"> </w:t>
      </w:r>
      <w:r>
        <w:rPr>
          <w:rFonts w:ascii="Times New Roman" w:hAnsi="Times New Roman" w:cs="Times New Roman"/>
        </w:rPr>
        <w:t xml:space="preserve">the Court of Appeal upheld Wyn Williams J’s finding of </w:t>
      </w:r>
      <w:r w:rsidR="0094744B">
        <w:rPr>
          <w:rFonts w:ascii="Times New Roman" w:hAnsi="Times New Roman" w:cs="Times New Roman"/>
        </w:rPr>
        <w:t xml:space="preserve">parent </w:t>
      </w:r>
      <w:r>
        <w:rPr>
          <w:rFonts w:ascii="Times New Roman" w:hAnsi="Times New Roman" w:cs="Times New Roman"/>
        </w:rPr>
        <w:t xml:space="preserve">liability in tort after a trial. </w:t>
      </w:r>
      <w:r w:rsidR="0052012F">
        <w:rPr>
          <w:rFonts w:ascii="Times New Roman" w:hAnsi="Times New Roman" w:cs="Times New Roman"/>
        </w:rPr>
        <w:t>Mr Chandler had worked for a</w:t>
      </w:r>
      <w:r w:rsidR="0094744B">
        <w:rPr>
          <w:rFonts w:ascii="Times New Roman" w:hAnsi="Times New Roman" w:cs="Times New Roman"/>
        </w:rPr>
        <w:t xml:space="preserve"> now</w:t>
      </w:r>
      <w:r w:rsidR="0052012F">
        <w:rPr>
          <w:rFonts w:ascii="Times New Roman" w:hAnsi="Times New Roman" w:cs="Times New Roman"/>
        </w:rPr>
        <w:t xml:space="preserve"> dissolved English subsidiary of Cape in the late 1950s and early 1960s under a system of working which was unsafe to protect him against asbestos dust. </w:t>
      </w:r>
      <w:r>
        <w:rPr>
          <w:rFonts w:ascii="Times New Roman" w:hAnsi="Times New Roman" w:cs="Times New Roman"/>
        </w:rPr>
        <w:t>Unlike the arguments for piercing the veil</w:t>
      </w:r>
      <w:r w:rsidR="00FE032D">
        <w:rPr>
          <w:rFonts w:ascii="Times New Roman" w:hAnsi="Times New Roman" w:cs="Times New Roman"/>
        </w:rPr>
        <w:t xml:space="preserve"> within groups</w:t>
      </w:r>
      <w:r>
        <w:rPr>
          <w:rFonts w:ascii="Times New Roman" w:hAnsi="Times New Roman" w:cs="Times New Roman"/>
        </w:rPr>
        <w:t>, which focus on the relationship between the parent and the subsidiary, the tort theory concentrates on the relationship between the parent and those who suffered harm but a relationship which is intermediated through the subsidiary. The correct analysis appears to be that the duty</w:t>
      </w:r>
      <w:r w:rsidR="00FE032D">
        <w:rPr>
          <w:rFonts w:ascii="Times New Roman" w:hAnsi="Times New Roman" w:cs="Times New Roman"/>
        </w:rPr>
        <w:t>, if it exists,</w:t>
      </w:r>
      <w:r>
        <w:rPr>
          <w:rFonts w:ascii="Times New Roman" w:hAnsi="Times New Roman" w:cs="Times New Roman"/>
        </w:rPr>
        <w:t xml:space="preserve"> is owed in law by the parent to the claimant, but it arises out of an analysis of the degree of factual control exercised </w:t>
      </w:r>
      <w:r w:rsidR="00FE032D">
        <w:rPr>
          <w:rFonts w:ascii="Times New Roman" w:hAnsi="Times New Roman" w:cs="Times New Roman"/>
        </w:rPr>
        <w:t xml:space="preserve">(or held out as being exercised) </w:t>
      </w:r>
      <w:r>
        <w:rPr>
          <w:rFonts w:ascii="Times New Roman" w:hAnsi="Times New Roman" w:cs="Times New Roman"/>
        </w:rPr>
        <w:t>by the parent over the subsidiary in relation to the hazardous activities carried on within the subsidiary. However, unlike with vicarious liability, where the liability of the principal/employer is automatic provided the relevant relationship exists, the direct liability of the parent does not flow automatically from the parent/subsidiary relationshi</w:t>
      </w:r>
      <w:r w:rsidR="000A79E0">
        <w:rPr>
          <w:rFonts w:ascii="Times New Roman" w:hAnsi="Times New Roman" w:cs="Times New Roman"/>
        </w:rPr>
        <w:t>p</w:t>
      </w:r>
      <w:r w:rsidR="00FE032D">
        <w:rPr>
          <w:rFonts w:ascii="Times New Roman" w:hAnsi="Times New Roman" w:cs="Times New Roman"/>
        </w:rPr>
        <w:t xml:space="preserve"> and it arises out of breach of a different duty from the one, if any, owed by the subsidiary to the claimants</w:t>
      </w:r>
      <w:r w:rsidR="000A79E0">
        <w:rPr>
          <w:rFonts w:ascii="Times New Roman" w:hAnsi="Times New Roman" w:cs="Times New Roman"/>
        </w:rPr>
        <w:t>.</w:t>
      </w:r>
    </w:p>
    <w:p w14:paraId="22855E08" w14:textId="1E0BD3AC" w:rsidR="00A05188" w:rsidRPr="000A79E0" w:rsidRDefault="00A05188" w:rsidP="00B71028">
      <w:pPr>
        <w:spacing w:line="276" w:lineRule="auto"/>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rPr>
        <w:t>Chandler</w:t>
      </w:r>
      <w:r>
        <w:rPr>
          <w:rFonts w:ascii="Times New Roman" w:hAnsi="Times New Roman" w:cs="Times New Roman"/>
        </w:rPr>
        <w:t xml:space="preserve">, apparently the first case in which liability was established </w:t>
      </w:r>
      <w:proofErr w:type="gramStart"/>
      <w:r>
        <w:rPr>
          <w:rFonts w:ascii="Times New Roman" w:hAnsi="Times New Roman" w:cs="Times New Roman"/>
        </w:rPr>
        <w:t>on the basis of</w:t>
      </w:r>
      <w:proofErr w:type="gramEnd"/>
      <w:r>
        <w:rPr>
          <w:rFonts w:ascii="Times New Roman" w:hAnsi="Times New Roman" w:cs="Times New Roman"/>
        </w:rPr>
        <w:t xml:space="preserve"> a duty of care owed by the parent to those who suffered harm </w:t>
      </w:r>
      <w:proofErr w:type="gramStart"/>
      <w:r>
        <w:rPr>
          <w:rFonts w:ascii="Times New Roman" w:hAnsi="Times New Roman" w:cs="Times New Roman"/>
        </w:rPr>
        <w:t>as a result of</w:t>
      </w:r>
      <w:proofErr w:type="gramEnd"/>
      <w:r>
        <w:rPr>
          <w:rFonts w:ascii="Times New Roman" w:hAnsi="Times New Roman" w:cs="Times New Roman"/>
        </w:rPr>
        <w:t xml:space="preserve"> the subsidiary’s actions, the trial judge regarded himself as presented with a novel situation for the application of a tortious duty of care. He therefore directed himself according to the tripartite tests laid down in </w:t>
      </w:r>
      <w:r>
        <w:rPr>
          <w:rFonts w:ascii="Times New Roman" w:hAnsi="Times New Roman" w:cs="Times New Roman"/>
          <w:i/>
        </w:rPr>
        <w:t>Caparo Industries plc v Dickman</w:t>
      </w:r>
      <w:r w:rsidRPr="00FD3893">
        <w:rPr>
          <w:rStyle w:val="ab"/>
          <w:rFonts w:ascii="Times New Roman" w:hAnsi="Times New Roman" w:cs="Times New Roman"/>
        </w:rPr>
        <w:footnoteReference w:id="54"/>
      </w:r>
      <w:r>
        <w:rPr>
          <w:rFonts w:ascii="Times New Roman" w:hAnsi="Times New Roman" w:cs="Times New Roman"/>
          <w:i/>
        </w:rPr>
        <w:t xml:space="preserve"> </w:t>
      </w:r>
      <w:r>
        <w:rPr>
          <w:rFonts w:ascii="Times New Roman" w:hAnsi="Times New Roman" w:cs="Times New Roman"/>
        </w:rPr>
        <w:t xml:space="preserve">for the recognition of a duty of care in situations not previously considered by the court. By the end of the last decade, however, the Supreme Court had decided that the courts no longer needed the </w:t>
      </w:r>
      <w:r>
        <w:rPr>
          <w:rFonts w:ascii="Times New Roman" w:hAnsi="Times New Roman" w:cs="Times New Roman"/>
          <w:i/>
        </w:rPr>
        <w:t xml:space="preserve">Caparo </w:t>
      </w:r>
      <w:r>
        <w:rPr>
          <w:rFonts w:ascii="Times New Roman" w:hAnsi="Times New Roman" w:cs="Times New Roman"/>
        </w:rPr>
        <w:t xml:space="preserve">check on their inventiveness. In </w:t>
      </w:r>
      <w:r>
        <w:rPr>
          <w:rFonts w:ascii="Times New Roman" w:hAnsi="Times New Roman" w:cs="Times New Roman"/>
          <w:i/>
        </w:rPr>
        <w:t xml:space="preserve">Vedanta Resources plc v </w:t>
      </w:r>
      <w:proofErr w:type="spellStart"/>
      <w:r>
        <w:rPr>
          <w:rFonts w:ascii="Times New Roman" w:hAnsi="Times New Roman" w:cs="Times New Roman"/>
          <w:i/>
        </w:rPr>
        <w:t>Lungowe</w:t>
      </w:r>
      <w:proofErr w:type="spellEnd"/>
      <w:r w:rsidRPr="005377E0">
        <w:rPr>
          <w:rStyle w:val="ab"/>
          <w:rFonts w:ascii="Times New Roman" w:hAnsi="Times New Roman" w:cs="Times New Roman"/>
        </w:rPr>
        <w:footnoteReference w:id="55"/>
      </w:r>
      <w:r w:rsidRPr="005377E0">
        <w:rPr>
          <w:rFonts w:ascii="Times New Roman" w:hAnsi="Times New Roman" w:cs="Times New Roman"/>
        </w:rPr>
        <w:t xml:space="preserve"> </w:t>
      </w:r>
      <w:r>
        <w:rPr>
          <w:rFonts w:ascii="Times New Roman" w:hAnsi="Times New Roman" w:cs="Times New Roman"/>
        </w:rPr>
        <w:t xml:space="preserve">Lord Briggs approved the approach of Sales LJ (as he then was) in </w:t>
      </w:r>
      <w:r>
        <w:rPr>
          <w:rFonts w:ascii="Times New Roman" w:hAnsi="Times New Roman" w:cs="Times New Roman"/>
          <w:i/>
        </w:rPr>
        <w:t>AAA v Unilever plc</w:t>
      </w:r>
      <w:r w:rsidRPr="004B6F16">
        <w:rPr>
          <w:rStyle w:val="ab"/>
          <w:rFonts w:ascii="Times New Roman" w:hAnsi="Times New Roman" w:cs="Times New Roman"/>
        </w:rPr>
        <w:footnoteReference w:id="56"/>
      </w:r>
      <w:r>
        <w:rPr>
          <w:rFonts w:ascii="Times New Roman" w:hAnsi="Times New Roman" w:cs="Times New Roman"/>
          <w:i/>
        </w:rPr>
        <w:t xml:space="preserve"> </w:t>
      </w:r>
      <w:r>
        <w:rPr>
          <w:rFonts w:ascii="Times New Roman" w:hAnsi="Times New Roman" w:cs="Times New Roman"/>
        </w:rPr>
        <w:t>who said: “There is no special doctrine in the law of tort of legal responsibility on the part of a parent company in relation to the activities of its subsidiary, vis-à-vis persons affected by those activities. . . The legal principles are the same as would apply to in relation to the question whether any third party (such as a consultant giving advice to the subsidiary) was subject to a duty of care in tort owed to a claimant dealing with the subsidiary.”</w:t>
      </w:r>
      <w:r>
        <w:rPr>
          <w:rStyle w:val="ab"/>
          <w:rFonts w:ascii="Times New Roman" w:hAnsi="Times New Roman" w:cs="Times New Roman"/>
        </w:rPr>
        <w:footnoteReference w:id="57"/>
      </w:r>
      <w:r>
        <w:rPr>
          <w:rFonts w:ascii="Times New Roman" w:hAnsi="Times New Roman" w:cs="Times New Roman"/>
        </w:rPr>
        <w:t xml:space="preserve"> To similar effect was the decision in </w:t>
      </w:r>
      <w:proofErr w:type="spellStart"/>
      <w:r>
        <w:rPr>
          <w:rFonts w:ascii="Times New Roman" w:hAnsi="Times New Roman" w:cs="Times New Roman"/>
          <w:i/>
        </w:rPr>
        <w:t>Okpabi</w:t>
      </w:r>
      <w:proofErr w:type="spellEnd"/>
      <w:r>
        <w:rPr>
          <w:rFonts w:ascii="Times New Roman" w:hAnsi="Times New Roman" w:cs="Times New Roman"/>
          <w:i/>
        </w:rPr>
        <w:t xml:space="preserve"> v Royal Dutch Shell</w:t>
      </w:r>
      <w:r>
        <w:rPr>
          <w:rFonts w:ascii="Times New Roman" w:hAnsi="Times New Roman" w:cs="Times New Roman"/>
        </w:rPr>
        <w:t xml:space="preserve">: it was “not the correct approach” to focus on the three-fold test for a duty of care set out in </w:t>
      </w:r>
      <w:r>
        <w:rPr>
          <w:rFonts w:ascii="Times New Roman" w:hAnsi="Times New Roman" w:cs="Times New Roman"/>
          <w:i/>
        </w:rPr>
        <w:t>Caparo.</w:t>
      </w:r>
      <w:r w:rsidRPr="00E326C6">
        <w:rPr>
          <w:rStyle w:val="ab"/>
          <w:rFonts w:ascii="Times New Roman" w:hAnsi="Times New Roman" w:cs="Times New Roman"/>
        </w:rPr>
        <w:footnoteReference w:id="58"/>
      </w:r>
    </w:p>
    <w:p w14:paraId="37B5A03C" w14:textId="65D01A68" w:rsidR="00A05188" w:rsidRPr="00B16746" w:rsidRDefault="0094744B" w:rsidP="00B71028">
      <w:pPr>
        <w:spacing w:line="276" w:lineRule="auto"/>
        <w:jc w:val="both"/>
        <w:rPr>
          <w:rFonts w:ascii="Times New Roman" w:hAnsi="Times New Roman" w:cs="Times New Roman"/>
        </w:rPr>
      </w:pPr>
      <w:r>
        <w:rPr>
          <w:rFonts w:ascii="Times New Roman" w:hAnsi="Times New Roman" w:cs="Times New Roman"/>
        </w:rPr>
        <w:lastRenderedPageBreak/>
        <w:t xml:space="preserve">This development in tort law allowed </w:t>
      </w:r>
      <w:proofErr w:type="gramStart"/>
      <w:r>
        <w:rPr>
          <w:rFonts w:ascii="Times New Roman" w:hAnsi="Times New Roman" w:cs="Times New Roman"/>
        </w:rPr>
        <w:t>a number of</w:t>
      </w:r>
      <w:proofErr w:type="gramEnd"/>
      <w:r>
        <w:rPr>
          <w:rFonts w:ascii="Times New Roman" w:hAnsi="Times New Roman" w:cs="Times New Roman"/>
        </w:rPr>
        <w:t xml:space="preserve"> groups of non-adjusting creditors to find, at least potentially, a way around the separate legal personality of the </w:t>
      </w:r>
      <w:proofErr w:type="gramStart"/>
      <w:r>
        <w:rPr>
          <w:rFonts w:ascii="Times New Roman" w:hAnsi="Times New Roman" w:cs="Times New Roman"/>
        </w:rPr>
        <w:t>particular group</w:t>
      </w:r>
      <w:proofErr w:type="gramEnd"/>
      <w:r>
        <w:rPr>
          <w:rFonts w:ascii="Times New Roman" w:hAnsi="Times New Roman" w:cs="Times New Roman"/>
        </w:rPr>
        <w:t xml:space="preserve"> company which inflicted the harm on them</w:t>
      </w:r>
      <w:r w:rsidR="00EB16B1">
        <w:rPr>
          <w:rFonts w:ascii="Times New Roman" w:hAnsi="Times New Roman" w:cs="Times New Roman"/>
        </w:rPr>
        <w:t xml:space="preserve">. In </w:t>
      </w:r>
      <w:r w:rsidR="00EB16B1">
        <w:rPr>
          <w:rFonts w:ascii="Times New Roman" w:hAnsi="Times New Roman" w:cs="Times New Roman"/>
          <w:i/>
          <w:iCs/>
        </w:rPr>
        <w:t xml:space="preserve">Vedanta </w:t>
      </w:r>
      <w:r w:rsidR="00EB16B1">
        <w:rPr>
          <w:rFonts w:ascii="Times New Roman" w:hAnsi="Times New Roman" w:cs="Times New Roman"/>
        </w:rPr>
        <w:t xml:space="preserve">the claimants were farmers working land in the vicinity of the subsidiary’s mine; in </w:t>
      </w:r>
      <w:r w:rsidR="00EB16B1">
        <w:rPr>
          <w:rFonts w:ascii="Times New Roman" w:hAnsi="Times New Roman" w:cs="Times New Roman"/>
          <w:i/>
          <w:iCs/>
        </w:rPr>
        <w:t xml:space="preserve">Unilever </w:t>
      </w:r>
      <w:r w:rsidR="00EB16B1">
        <w:rPr>
          <w:rFonts w:ascii="Times New Roman" w:hAnsi="Times New Roman" w:cs="Times New Roman"/>
        </w:rPr>
        <w:t xml:space="preserve">employees of the operating group company; and in </w:t>
      </w:r>
      <w:proofErr w:type="spellStart"/>
      <w:r w:rsidR="00EB16B1">
        <w:rPr>
          <w:rFonts w:ascii="Times New Roman" w:hAnsi="Times New Roman" w:cs="Times New Roman"/>
          <w:i/>
          <w:iCs/>
        </w:rPr>
        <w:t>Okpabi</w:t>
      </w:r>
      <w:proofErr w:type="spellEnd"/>
      <w:r w:rsidR="00EB16B1">
        <w:rPr>
          <w:rFonts w:ascii="Times New Roman" w:hAnsi="Times New Roman" w:cs="Times New Roman"/>
          <w:i/>
          <w:iCs/>
        </w:rPr>
        <w:t xml:space="preserve"> </w:t>
      </w:r>
      <w:r w:rsidR="00EB16B1">
        <w:rPr>
          <w:rFonts w:ascii="Times New Roman" w:hAnsi="Times New Roman" w:cs="Times New Roman"/>
        </w:rPr>
        <w:t xml:space="preserve">citizens affected by leaks from an oil pipeline. </w:t>
      </w:r>
      <w:r w:rsidR="000C080D">
        <w:rPr>
          <w:rFonts w:ascii="Times New Roman" w:hAnsi="Times New Roman" w:cs="Times New Roman"/>
        </w:rPr>
        <w:t xml:space="preserve">In these three cases the claimants were all residents of </w:t>
      </w:r>
      <w:r w:rsidR="00E7766D">
        <w:rPr>
          <w:rFonts w:ascii="Times New Roman" w:hAnsi="Times New Roman" w:cs="Times New Roman"/>
        </w:rPr>
        <w:t>the</w:t>
      </w:r>
      <w:r w:rsidR="000C080D">
        <w:rPr>
          <w:rFonts w:ascii="Times New Roman" w:hAnsi="Times New Roman" w:cs="Times New Roman"/>
        </w:rPr>
        <w:t xml:space="preserve"> foreign country where the operating group company was registered,</w:t>
      </w:r>
      <w:r w:rsidR="000C080D">
        <w:rPr>
          <w:rStyle w:val="ab"/>
          <w:rFonts w:ascii="Times New Roman" w:hAnsi="Times New Roman" w:cs="Times New Roman"/>
        </w:rPr>
        <w:footnoteReference w:id="59"/>
      </w:r>
      <w:r w:rsidR="000C080D">
        <w:rPr>
          <w:rFonts w:ascii="Times New Roman" w:hAnsi="Times New Roman" w:cs="Times New Roman"/>
        </w:rPr>
        <w:t xml:space="preserve"> a now common factor in the claims against English parent companies.</w:t>
      </w:r>
      <w:r w:rsidR="00840608">
        <w:rPr>
          <w:rFonts w:ascii="Times New Roman" w:hAnsi="Times New Roman" w:cs="Times New Roman"/>
        </w:rPr>
        <w:t xml:space="preserve"> </w:t>
      </w:r>
      <w:r w:rsidR="00EB16B1">
        <w:rPr>
          <w:rFonts w:ascii="Times New Roman" w:hAnsi="Times New Roman" w:cs="Times New Roman"/>
        </w:rPr>
        <w:t>In the classic case p</w:t>
      </w:r>
      <w:r w:rsidR="00840608">
        <w:rPr>
          <w:rFonts w:ascii="Times New Roman" w:hAnsi="Times New Roman" w:cs="Times New Roman"/>
        </w:rPr>
        <w:t xml:space="preserve">iercing the veil </w:t>
      </w:r>
      <w:r w:rsidR="00EB16B1">
        <w:rPr>
          <w:rFonts w:ascii="Times New Roman" w:hAnsi="Times New Roman" w:cs="Times New Roman"/>
        </w:rPr>
        <w:t xml:space="preserve">is part of the claim </w:t>
      </w:r>
      <w:r w:rsidR="00840608">
        <w:rPr>
          <w:rFonts w:ascii="Times New Roman" w:hAnsi="Times New Roman" w:cs="Times New Roman"/>
        </w:rPr>
        <w:t xml:space="preserve">because the </w:t>
      </w:r>
      <w:r w:rsidR="00EB16B1">
        <w:rPr>
          <w:rFonts w:ascii="Times New Roman" w:hAnsi="Times New Roman" w:cs="Times New Roman"/>
        </w:rPr>
        <w:t>group company which inflicted the harm</w:t>
      </w:r>
      <w:r w:rsidR="00840608">
        <w:rPr>
          <w:rFonts w:ascii="Times New Roman" w:hAnsi="Times New Roman" w:cs="Times New Roman"/>
        </w:rPr>
        <w:t xml:space="preserve"> cannot meet the liability. This was the position in </w:t>
      </w:r>
      <w:r w:rsidR="00840608">
        <w:rPr>
          <w:rFonts w:ascii="Times New Roman" w:hAnsi="Times New Roman" w:cs="Times New Roman"/>
          <w:i/>
          <w:iCs/>
        </w:rPr>
        <w:t xml:space="preserve">Chandler </w:t>
      </w:r>
      <w:r w:rsidR="00840608">
        <w:rPr>
          <w:rFonts w:ascii="Times New Roman" w:hAnsi="Times New Roman" w:cs="Times New Roman"/>
        </w:rPr>
        <w:t xml:space="preserve">and in </w:t>
      </w:r>
      <w:r w:rsidR="00840608">
        <w:rPr>
          <w:rFonts w:ascii="Times New Roman" w:hAnsi="Times New Roman" w:cs="Times New Roman"/>
          <w:i/>
          <w:iCs/>
        </w:rPr>
        <w:t>Adams</w:t>
      </w:r>
      <w:r w:rsidR="00840608">
        <w:rPr>
          <w:rFonts w:ascii="Times New Roman" w:hAnsi="Times New Roman" w:cs="Times New Roman"/>
        </w:rPr>
        <w:t>.</w:t>
      </w:r>
      <w:r w:rsidR="00840608">
        <w:rPr>
          <w:rFonts w:ascii="Times New Roman" w:hAnsi="Times New Roman" w:cs="Times New Roman"/>
          <w:i/>
          <w:iCs/>
        </w:rPr>
        <w:t xml:space="preserve"> </w:t>
      </w:r>
      <w:r w:rsidR="00A05188">
        <w:rPr>
          <w:rFonts w:ascii="Times New Roman" w:hAnsi="Times New Roman" w:cs="Times New Roman"/>
        </w:rPr>
        <w:t>Although some doubts were expressed on this score</w:t>
      </w:r>
      <w:r w:rsidR="000C080D">
        <w:rPr>
          <w:rFonts w:ascii="Times New Roman" w:hAnsi="Times New Roman" w:cs="Times New Roman"/>
        </w:rPr>
        <w:t xml:space="preserve"> in the </w:t>
      </w:r>
      <w:r w:rsidR="00E7766D">
        <w:rPr>
          <w:rFonts w:ascii="Times New Roman" w:hAnsi="Times New Roman" w:cs="Times New Roman"/>
        </w:rPr>
        <w:t>more recent</w:t>
      </w:r>
      <w:r w:rsidR="000C080D">
        <w:rPr>
          <w:rFonts w:ascii="Times New Roman" w:hAnsi="Times New Roman" w:cs="Times New Roman"/>
        </w:rPr>
        <w:t xml:space="preserve"> cases</w:t>
      </w:r>
      <w:r w:rsidR="00A05188">
        <w:rPr>
          <w:rFonts w:ascii="Times New Roman" w:hAnsi="Times New Roman" w:cs="Times New Roman"/>
        </w:rPr>
        <w:t xml:space="preserve">, it was certainly never shown that the subsidiary would be incapable of meeting any judgement that might be made against it </w:t>
      </w:r>
      <w:r w:rsidR="00840608">
        <w:rPr>
          <w:rFonts w:ascii="Times New Roman" w:hAnsi="Times New Roman" w:cs="Times New Roman"/>
        </w:rPr>
        <w:t xml:space="preserve">by the courts of its jurisdiction of incorporation </w:t>
      </w:r>
      <w:r w:rsidR="00A05188">
        <w:rPr>
          <w:rFonts w:ascii="Times New Roman" w:hAnsi="Times New Roman" w:cs="Times New Roman"/>
        </w:rPr>
        <w:t>or that the parent would not support the subsidiary</w:t>
      </w:r>
      <w:r w:rsidR="00840608">
        <w:rPr>
          <w:rFonts w:ascii="Times New Roman" w:hAnsi="Times New Roman" w:cs="Times New Roman"/>
        </w:rPr>
        <w:t>, if it needed support</w:t>
      </w:r>
      <w:r w:rsidR="00A05188">
        <w:rPr>
          <w:rFonts w:ascii="Times New Roman" w:hAnsi="Times New Roman" w:cs="Times New Roman"/>
        </w:rPr>
        <w:t>. The driving force behind the claimants’ desire to sue in the English courts</w:t>
      </w:r>
      <w:r w:rsidR="00840608">
        <w:rPr>
          <w:rFonts w:ascii="Times New Roman" w:hAnsi="Times New Roman" w:cs="Times New Roman"/>
        </w:rPr>
        <w:t>, which the parent-tort theory facilitated,</w:t>
      </w:r>
      <w:r w:rsidR="00A05188">
        <w:rPr>
          <w:rFonts w:ascii="Times New Roman" w:hAnsi="Times New Roman" w:cs="Times New Roman"/>
        </w:rPr>
        <w:t xml:space="preserve"> seems to have been what were referred to in the cases as “access to justice” arguments. In particular, the availability of funding and legal expertise to support large-scale litigation against a multinational company was, the claimants argued, substantially greater in the UK than in the subsidiaries’ jurisdictions. Although too polite to mention it, the claimants may have felt also that they would be likely to obtain a more open hearing in an English court, since in both the </w:t>
      </w:r>
      <w:r w:rsidR="00A05188">
        <w:rPr>
          <w:rFonts w:ascii="Times New Roman" w:hAnsi="Times New Roman" w:cs="Times New Roman"/>
          <w:i/>
        </w:rPr>
        <w:t xml:space="preserve">Vedanta </w:t>
      </w:r>
      <w:r w:rsidR="00A05188">
        <w:rPr>
          <w:rFonts w:ascii="Times New Roman" w:hAnsi="Times New Roman" w:cs="Times New Roman"/>
        </w:rPr>
        <w:t xml:space="preserve">and </w:t>
      </w:r>
      <w:proofErr w:type="spellStart"/>
      <w:r w:rsidR="00A05188">
        <w:rPr>
          <w:rFonts w:ascii="Times New Roman" w:hAnsi="Times New Roman" w:cs="Times New Roman"/>
          <w:i/>
        </w:rPr>
        <w:t>Okpabi</w:t>
      </w:r>
      <w:proofErr w:type="spellEnd"/>
      <w:r w:rsidR="00A05188">
        <w:rPr>
          <w:rFonts w:ascii="Times New Roman" w:hAnsi="Times New Roman" w:cs="Times New Roman"/>
          <w:i/>
        </w:rPr>
        <w:t xml:space="preserve"> </w:t>
      </w:r>
      <w:r w:rsidR="00A05188">
        <w:rPr>
          <w:rFonts w:ascii="Times New Roman" w:hAnsi="Times New Roman" w:cs="Times New Roman"/>
        </w:rPr>
        <w:t xml:space="preserve">cases the government in whose territory the operations were conducted had a substantial economic interest in the </w:t>
      </w:r>
      <w:r w:rsidR="0085642E">
        <w:rPr>
          <w:rFonts w:ascii="Times New Roman" w:hAnsi="Times New Roman" w:cs="Times New Roman"/>
        </w:rPr>
        <w:t xml:space="preserve">negligent </w:t>
      </w:r>
      <w:r w:rsidR="00A05188">
        <w:rPr>
          <w:rFonts w:ascii="Times New Roman" w:hAnsi="Times New Roman" w:cs="Times New Roman"/>
        </w:rPr>
        <w:t>subsidiary, either directly or indirectly.</w:t>
      </w:r>
    </w:p>
    <w:p w14:paraId="26032029" w14:textId="54C14224" w:rsidR="00AC58A5" w:rsidRDefault="0057716C" w:rsidP="00B71028">
      <w:pPr>
        <w:spacing w:line="276" w:lineRule="auto"/>
        <w:jc w:val="both"/>
        <w:rPr>
          <w:rFonts w:ascii="Times New Roman" w:hAnsi="Times New Roman" w:cs="Times New Roman"/>
        </w:rPr>
      </w:pPr>
      <w:r>
        <w:rPr>
          <w:rFonts w:ascii="Times New Roman" w:hAnsi="Times New Roman" w:cs="Times New Roman"/>
        </w:rPr>
        <w:t>The foreign location of the tortfeasor raises a question of the applicable law. Under the Rome II Convention</w:t>
      </w:r>
      <w:r w:rsidR="00D4702E">
        <w:rPr>
          <w:rFonts w:ascii="Times New Roman" w:hAnsi="Times New Roman" w:cs="Times New Roman"/>
        </w:rPr>
        <w:t>, retained in force after Brexi</w:t>
      </w:r>
      <w:r w:rsidR="00BF1C2A">
        <w:rPr>
          <w:rFonts w:ascii="Times New Roman" w:hAnsi="Times New Roman" w:cs="Times New Roman"/>
        </w:rPr>
        <w:t>t</w:t>
      </w:r>
      <w:r w:rsidR="00D4702E">
        <w:rPr>
          <w:rFonts w:ascii="Times New Roman" w:hAnsi="Times New Roman" w:cs="Times New Roman"/>
        </w:rPr>
        <w:t>,</w:t>
      </w:r>
      <w:r w:rsidR="00BF1C2A">
        <w:rPr>
          <w:rStyle w:val="ab"/>
          <w:rFonts w:ascii="Times New Roman" w:hAnsi="Times New Roman" w:cs="Times New Roman"/>
        </w:rPr>
        <w:footnoteReference w:id="60"/>
      </w:r>
      <w:r w:rsidR="00D4702E">
        <w:rPr>
          <w:rFonts w:ascii="Times New Roman" w:hAnsi="Times New Roman" w:cs="Times New Roman"/>
        </w:rPr>
        <w:t xml:space="preserve"> the applicable law is normally that </w:t>
      </w:r>
      <w:r w:rsidR="00E7766D">
        <w:rPr>
          <w:rFonts w:ascii="Times New Roman" w:hAnsi="Times New Roman" w:cs="Times New Roman"/>
        </w:rPr>
        <w:t xml:space="preserve">of </w:t>
      </w:r>
      <w:r w:rsidR="00D4702E">
        <w:rPr>
          <w:rFonts w:ascii="Times New Roman" w:hAnsi="Times New Roman" w:cs="Times New Roman"/>
        </w:rPr>
        <w:t xml:space="preserve">the jurisdiction where the tort was committed, and so not English law </w:t>
      </w:r>
      <w:r w:rsidR="003F230D">
        <w:rPr>
          <w:rFonts w:ascii="Times New Roman" w:hAnsi="Times New Roman" w:cs="Times New Roman"/>
        </w:rPr>
        <w:t>where the operating subsidiary was located outside the UK</w:t>
      </w:r>
      <w:r w:rsidR="00D4702E">
        <w:rPr>
          <w:rFonts w:ascii="Times New Roman" w:hAnsi="Times New Roman" w:cs="Times New Roman"/>
        </w:rPr>
        <w:t>. However, where the operati</w:t>
      </w:r>
      <w:r w:rsidR="00E7766D">
        <w:rPr>
          <w:rFonts w:ascii="Times New Roman" w:hAnsi="Times New Roman" w:cs="Times New Roman"/>
        </w:rPr>
        <w:t>ng</w:t>
      </w:r>
      <w:r w:rsidR="00D4702E">
        <w:rPr>
          <w:rFonts w:ascii="Times New Roman" w:hAnsi="Times New Roman" w:cs="Times New Roman"/>
        </w:rPr>
        <w:t xml:space="preserve"> subsidiary was based in a common law jurisdiction, the English courts have been prepared to a</w:t>
      </w:r>
      <w:r w:rsidR="00765240">
        <w:rPr>
          <w:rFonts w:ascii="Times New Roman" w:hAnsi="Times New Roman" w:cs="Times New Roman"/>
        </w:rPr>
        <w:t>ccept</w:t>
      </w:r>
      <w:r w:rsidR="00D4702E">
        <w:rPr>
          <w:rFonts w:ascii="Times New Roman" w:hAnsi="Times New Roman" w:cs="Times New Roman"/>
        </w:rPr>
        <w:t xml:space="preserve"> at the strike-out stage</w:t>
      </w:r>
      <w:r w:rsidR="00765240">
        <w:rPr>
          <w:rFonts w:ascii="Times New Roman" w:hAnsi="Times New Roman" w:cs="Times New Roman"/>
        </w:rPr>
        <w:t>, which was the relevant stage of the litigation in the above three cases, that under the foreign law the parent-tort theory was at least sufficiently arguable not to prevent the case proceeding to trial in England.</w:t>
      </w:r>
      <w:r w:rsidR="00765240">
        <w:rPr>
          <w:rStyle w:val="ab"/>
          <w:rFonts w:ascii="Times New Roman" w:hAnsi="Times New Roman" w:cs="Times New Roman"/>
        </w:rPr>
        <w:footnoteReference w:id="61"/>
      </w:r>
      <w:r w:rsidR="00765240">
        <w:rPr>
          <w:rFonts w:ascii="Times New Roman" w:hAnsi="Times New Roman" w:cs="Times New Roman"/>
        </w:rPr>
        <w:t xml:space="preserve"> </w:t>
      </w:r>
      <w:r w:rsidR="00AC58A5">
        <w:rPr>
          <w:rFonts w:ascii="Times New Roman" w:hAnsi="Times New Roman" w:cs="Times New Roman"/>
        </w:rPr>
        <w:t>However, were the tortfeasor’s jurisdiction explicitly to reject the parent-tort theory (for example, by finding that no duty arose in principle in such cases), then the case against the parent would fail even though the English court had accepted jurisdiction over the parent.</w:t>
      </w:r>
    </w:p>
    <w:p w14:paraId="60333FCF" w14:textId="77D27FC5" w:rsidR="00BF1C2A" w:rsidRPr="005A09B9" w:rsidRDefault="00BF1C2A" w:rsidP="00B71028">
      <w:pPr>
        <w:spacing w:line="276" w:lineRule="auto"/>
        <w:jc w:val="both"/>
        <w:rPr>
          <w:rFonts w:ascii="Times New Roman" w:hAnsi="Times New Roman" w:cs="Times New Roman"/>
        </w:rPr>
      </w:pPr>
      <w:r>
        <w:rPr>
          <w:rFonts w:ascii="Times New Roman" w:hAnsi="Times New Roman" w:cs="Times New Roman"/>
        </w:rPr>
        <w:t xml:space="preserve">The foreign location of the tortfeasor also </w:t>
      </w:r>
      <w:r w:rsidR="003F230D">
        <w:rPr>
          <w:rFonts w:ascii="Times New Roman" w:hAnsi="Times New Roman" w:cs="Times New Roman"/>
        </w:rPr>
        <w:t>raises a</w:t>
      </w:r>
      <w:r>
        <w:rPr>
          <w:rFonts w:ascii="Times New Roman" w:hAnsi="Times New Roman" w:cs="Times New Roman"/>
        </w:rPr>
        <w:t xml:space="preserve"> jurisdiction question. Given that the tort was committed abroad, are the courts of the foreign jurisdiction a better location for the trial of the action than England</w:t>
      </w:r>
      <w:r w:rsidR="005A09B9">
        <w:rPr>
          <w:rFonts w:ascii="Times New Roman" w:hAnsi="Times New Roman" w:cs="Times New Roman"/>
        </w:rPr>
        <w:t xml:space="preserve">? In the usual language employed, is </w:t>
      </w:r>
      <w:r w:rsidR="00BC6E4E">
        <w:rPr>
          <w:rFonts w:ascii="Times New Roman" w:hAnsi="Times New Roman" w:cs="Times New Roman"/>
        </w:rPr>
        <w:t>the foreign jurisdiction</w:t>
      </w:r>
      <w:r w:rsidR="005A09B9">
        <w:rPr>
          <w:rFonts w:ascii="Times New Roman" w:hAnsi="Times New Roman" w:cs="Times New Roman"/>
        </w:rPr>
        <w:t xml:space="preserve"> the </w:t>
      </w:r>
      <w:r w:rsidR="005A09B9">
        <w:rPr>
          <w:rFonts w:ascii="Times New Roman" w:hAnsi="Times New Roman" w:cs="Times New Roman"/>
          <w:i/>
          <w:iCs/>
        </w:rPr>
        <w:t xml:space="preserve">forum conveniens </w:t>
      </w:r>
      <w:r w:rsidR="005A09B9">
        <w:rPr>
          <w:rFonts w:ascii="Times New Roman" w:hAnsi="Times New Roman" w:cs="Times New Roman"/>
        </w:rPr>
        <w:t>for the trial? The issue can be raised in relation to the action</w:t>
      </w:r>
      <w:r w:rsidR="003F230D">
        <w:rPr>
          <w:rFonts w:ascii="Times New Roman" w:hAnsi="Times New Roman" w:cs="Times New Roman"/>
        </w:rPr>
        <w:t>s</w:t>
      </w:r>
      <w:r w:rsidR="005A09B9">
        <w:rPr>
          <w:rFonts w:ascii="Times New Roman" w:hAnsi="Times New Roman" w:cs="Times New Roman"/>
        </w:rPr>
        <w:t xml:space="preserve"> against the parent and against the subsidiary, which is </w:t>
      </w:r>
      <w:r w:rsidR="00ED733B">
        <w:rPr>
          <w:rFonts w:ascii="Times New Roman" w:hAnsi="Times New Roman" w:cs="Times New Roman"/>
        </w:rPr>
        <w:t xml:space="preserve">usually </w:t>
      </w:r>
      <w:r w:rsidR="005A09B9">
        <w:rPr>
          <w:rFonts w:ascii="Times New Roman" w:hAnsi="Times New Roman" w:cs="Times New Roman"/>
        </w:rPr>
        <w:t xml:space="preserve">also </w:t>
      </w:r>
      <w:r w:rsidR="00BC6E4E">
        <w:rPr>
          <w:rFonts w:ascii="Times New Roman" w:hAnsi="Times New Roman" w:cs="Times New Roman"/>
        </w:rPr>
        <w:t>sued</w:t>
      </w:r>
      <w:r w:rsidR="00ED733B">
        <w:rPr>
          <w:rFonts w:ascii="Times New Roman" w:hAnsi="Times New Roman" w:cs="Times New Roman"/>
        </w:rPr>
        <w:t xml:space="preserve"> </w:t>
      </w:r>
      <w:r w:rsidR="005A09B9">
        <w:rPr>
          <w:rFonts w:ascii="Times New Roman" w:hAnsi="Times New Roman" w:cs="Times New Roman"/>
        </w:rPr>
        <w:t xml:space="preserve">in England, if only to avoid the risk of </w:t>
      </w:r>
      <w:r w:rsidR="005A09B9">
        <w:rPr>
          <w:rFonts w:ascii="Times New Roman" w:hAnsi="Times New Roman" w:cs="Times New Roman"/>
        </w:rPr>
        <w:lastRenderedPageBreak/>
        <w:t xml:space="preserve">inconsistent judgements. If the English court accepts jurisdiction over the parent as the “anchor defendant”, it will normally take jurisdiction over the claim </w:t>
      </w:r>
      <w:r w:rsidR="00ED733B">
        <w:rPr>
          <w:rFonts w:ascii="Times New Roman" w:hAnsi="Times New Roman" w:cs="Times New Roman"/>
        </w:rPr>
        <w:t>against</w:t>
      </w:r>
      <w:r w:rsidR="005A09B9">
        <w:rPr>
          <w:rFonts w:ascii="Times New Roman" w:hAnsi="Times New Roman" w:cs="Times New Roman"/>
        </w:rPr>
        <w:t xml:space="preserve"> the subsidiary (though, of course, applying local law in both cases). So long as the UK was a member of the EU, the </w:t>
      </w:r>
      <w:r w:rsidR="005A09B9">
        <w:rPr>
          <w:rFonts w:ascii="Times New Roman" w:hAnsi="Times New Roman" w:cs="Times New Roman"/>
          <w:i/>
          <w:iCs/>
        </w:rPr>
        <w:t xml:space="preserve">forum conveniens </w:t>
      </w:r>
      <w:r w:rsidR="005A09B9">
        <w:rPr>
          <w:rFonts w:ascii="Times New Roman" w:hAnsi="Times New Roman" w:cs="Times New Roman"/>
        </w:rPr>
        <w:t>point had little traction, since the Brussels Regulation</w:t>
      </w:r>
      <w:r w:rsidR="005A09B9">
        <w:rPr>
          <w:rStyle w:val="ab"/>
          <w:rFonts w:ascii="Times New Roman" w:hAnsi="Times New Roman" w:cs="Times New Roman"/>
        </w:rPr>
        <w:footnoteReference w:id="62"/>
      </w:r>
      <w:r w:rsidR="005A09B9">
        <w:rPr>
          <w:rFonts w:ascii="Times New Roman" w:hAnsi="Times New Roman" w:cs="Times New Roman"/>
        </w:rPr>
        <w:t xml:space="preserve"> had been interpreted by the CJEU as permitting only very narrow exceptions to the rule that companies domiciled in the EU may be sued in the jurisdiction of their domicile in respect of breaches of duty by them, no matter that the harm was inflicted elsewhere.</w:t>
      </w:r>
      <w:r w:rsidR="005A09B9">
        <w:rPr>
          <w:rStyle w:val="ab"/>
          <w:rFonts w:ascii="Times New Roman" w:hAnsi="Times New Roman" w:cs="Times New Roman"/>
        </w:rPr>
        <w:footnoteReference w:id="63"/>
      </w:r>
      <w:r w:rsidR="005A09B9">
        <w:rPr>
          <w:rFonts w:ascii="Times New Roman" w:hAnsi="Times New Roman" w:cs="Times New Roman"/>
        </w:rPr>
        <w:t xml:space="preserve">  The issue has now re-surfaced</w:t>
      </w:r>
      <w:r w:rsidR="00ED733B">
        <w:rPr>
          <w:rFonts w:ascii="Times New Roman" w:hAnsi="Times New Roman" w:cs="Times New Roman"/>
        </w:rPr>
        <w:t>, but, to date,</w:t>
      </w:r>
      <w:r w:rsidR="005A09B9">
        <w:rPr>
          <w:rFonts w:ascii="Times New Roman" w:hAnsi="Times New Roman" w:cs="Times New Roman"/>
        </w:rPr>
        <w:t xml:space="preserve"> the courts have been content to </w:t>
      </w:r>
      <w:r w:rsidR="00F556DE">
        <w:rPr>
          <w:rFonts w:ascii="Times New Roman" w:hAnsi="Times New Roman" w:cs="Times New Roman"/>
        </w:rPr>
        <w:t xml:space="preserve">allow the access to justice arguments to prevail in favour of claimants wishing to sue </w:t>
      </w:r>
      <w:r w:rsidR="00ED733B">
        <w:rPr>
          <w:rFonts w:ascii="Times New Roman" w:hAnsi="Times New Roman" w:cs="Times New Roman"/>
        </w:rPr>
        <w:t xml:space="preserve">parent companies </w:t>
      </w:r>
      <w:r w:rsidR="00F556DE">
        <w:rPr>
          <w:rFonts w:ascii="Times New Roman" w:hAnsi="Times New Roman" w:cs="Times New Roman"/>
        </w:rPr>
        <w:t>in England.</w:t>
      </w:r>
      <w:r w:rsidR="00F556DE">
        <w:rPr>
          <w:rStyle w:val="ab"/>
          <w:rFonts w:ascii="Times New Roman" w:hAnsi="Times New Roman" w:cs="Times New Roman"/>
        </w:rPr>
        <w:footnoteReference w:id="64"/>
      </w:r>
    </w:p>
    <w:p w14:paraId="5CBED575" w14:textId="77777777" w:rsidR="00A05188" w:rsidRDefault="00A05188" w:rsidP="00B71028">
      <w:pPr>
        <w:spacing w:line="276" w:lineRule="auto"/>
        <w:jc w:val="both"/>
        <w:rPr>
          <w:rFonts w:ascii="Times New Roman" w:hAnsi="Times New Roman" w:cs="Times New Roman"/>
        </w:rPr>
      </w:pPr>
      <w:r>
        <w:rPr>
          <w:rFonts w:ascii="Times New Roman" w:hAnsi="Times New Roman" w:cs="Times New Roman"/>
        </w:rPr>
        <w:t>Although the most recent and authoritative decisions on the tort liability of parent companies concerned preliminary issues, it is now tolerably clear where the courts will focus their attention when determining whether the parent owed a duty of care to the claimants.</w:t>
      </w:r>
      <w:r>
        <w:rPr>
          <w:rStyle w:val="ab"/>
          <w:rFonts w:ascii="Times New Roman" w:hAnsi="Times New Roman" w:cs="Times New Roman"/>
        </w:rPr>
        <w:footnoteReference w:id="65"/>
      </w:r>
      <w:r>
        <w:rPr>
          <w:rFonts w:ascii="Times New Roman" w:hAnsi="Times New Roman" w:cs="Times New Roman"/>
        </w:rPr>
        <w:t xml:space="preserve"> They will focus on the extent of the control of the parent over the subsidiary. It is equally clear that control here is not what a corporate lawyer understands by that term in the context of parent/subsidiary relationships. Under the Companies Act 2006 control is defined, principally, in terms of holding a majority of the voting rights of another company or having the right to appoint or remove the majority of its board of directors.</w:t>
      </w:r>
      <w:r>
        <w:rPr>
          <w:rStyle w:val="ab"/>
          <w:rFonts w:ascii="Times New Roman" w:hAnsi="Times New Roman" w:cs="Times New Roman"/>
        </w:rPr>
        <w:footnoteReference w:id="66"/>
      </w:r>
      <w:r>
        <w:rPr>
          <w:rFonts w:ascii="Times New Roman" w:hAnsi="Times New Roman" w:cs="Times New Roman"/>
        </w:rPr>
        <w:t xml:space="preserve"> On the company law approach, therefore, a company would always have control of another majority- or wholly-owned company. </w:t>
      </w:r>
    </w:p>
    <w:p w14:paraId="200FC8F7" w14:textId="432A5D37" w:rsidR="00A05188" w:rsidRDefault="00A05188" w:rsidP="00B71028">
      <w:pPr>
        <w:spacing w:line="276" w:lineRule="auto"/>
        <w:jc w:val="both"/>
        <w:rPr>
          <w:rFonts w:ascii="Times New Roman" w:hAnsi="Times New Roman" w:cs="Times New Roman"/>
        </w:rPr>
      </w:pPr>
      <w:r>
        <w:rPr>
          <w:rFonts w:ascii="Times New Roman" w:hAnsi="Times New Roman" w:cs="Times New Roman"/>
        </w:rPr>
        <w:t>For the purposes of the duty of care in tort, by contrast, the capacity to control the actions of the subsidiary is not enough. The focus is on what might be termed “managerial” control. To what extent has the parent involved itself in the management of those aspects of the subsidiary’s activities which are alleged to have generated the harm of which the claimants complain – or</w:t>
      </w:r>
      <w:r w:rsidR="00BC6E4E">
        <w:rPr>
          <w:rFonts w:ascii="Times New Roman" w:hAnsi="Times New Roman" w:cs="Times New Roman"/>
        </w:rPr>
        <w:t xml:space="preserve"> </w:t>
      </w:r>
      <w:r>
        <w:rPr>
          <w:rFonts w:ascii="Times New Roman" w:hAnsi="Times New Roman" w:cs="Times New Roman"/>
        </w:rPr>
        <w:t>has held itself out as being so involved?</w:t>
      </w:r>
      <w:r>
        <w:rPr>
          <w:rFonts w:ascii="Times New Roman" w:hAnsi="Times New Roman" w:cs="Times New Roman"/>
          <w:i/>
        </w:rPr>
        <w:t xml:space="preserve"> </w:t>
      </w:r>
      <w:r>
        <w:rPr>
          <w:rFonts w:ascii="Times New Roman" w:hAnsi="Times New Roman" w:cs="Times New Roman"/>
        </w:rPr>
        <w:t xml:space="preserve">A company with control of another on the company law tests is not necessarily one with control on the tort tests. It may have the authority to exercise the tort level of </w:t>
      </w:r>
      <w:r w:rsidR="003F230D">
        <w:rPr>
          <w:rFonts w:ascii="Times New Roman" w:hAnsi="Times New Roman" w:cs="Times New Roman"/>
        </w:rPr>
        <w:t>control but</w:t>
      </w:r>
      <w:r>
        <w:rPr>
          <w:rFonts w:ascii="Times New Roman" w:hAnsi="Times New Roman" w:cs="Times New Roman"/>
        </w:rPr>
        <w:t xml:space="preserve"> have decided not (or simply failed) to do so, presumably for commercial reasons related to its view of the benefits of leaving a high level of discretion to the subsidiary as to how it might best conduct its activities.</w:t>
      </w:r>
    </w:p>
    <w:p w14:paraId="189D6EF2" w14:textId="77777777" w:rsidR="00A05188" w:rsidRDefault="00A05188" w:rsidP="00B71028">
      <w:pPr>
        <w:spacing w:line="276" w:lineRule="auto"/>
        <w:jc w:val="both"/>
        <w:rPr>
          <w:rFonts w:ascii="Times New Roman" w:hAnsi="Times New Roman" w:cs="Times New Roman"/>
        </w:rPr>
      </w:pPr>
      <w:r>
        <w:rPr>
          <w:rFonts w:ascii="Times New Roman" w:hAnsi="Times New Roman" w:cs="Times New Roman"/>
        </w:rPr>
        <w:t xml:space="preserve">Although not to be treated as exhaustive, the Supreme Court in </w:t>
      </w:r>
      <w:proofErr w:type="spellStart"/>
      <w:r>
        <w:rPr>
          <w:rFonts w:ascii="Times New Roman" w:hAnsi="Times New Roman" w:cs="Times New Roman"/>
          <w:i/>
        </w:rPr>
        <w:t>Okpabi</w:t>
      </w:r>
      <w:proofErr w:type="spellEnd"/>
      <w:r>
        <w:rPr>
          <w:rFonts w:ascii="Times New Roman" w:hAnsi="Times New Roman" w:cs="Times New Roman"/>
          <w:i/>
        </w:rPr>
        <w:t xml:space="preserve"> </w:t>
      </w:r>
      <w:r>
        <w:rPr>
          <w:rFonts w:ascii="Times New Roman" w:hAnsi="Times New Roman" w:cs="Times New Roman"/>
        </w:rPr>
        <w:t xml:space="preserve">regarded the decision in </w:t>
      </w:r>
      <w:r>
        <w:rPr>
          <w:rFonts w:ascii="Times New Roman" w:hAnsi="Times New Roman" w:cs="Times New Roman"/>
          <w:i/>
        </w:rPr>
        <w:t xml:space="preserve">Vedanta </w:t>
      </w:r>
      <w:r>
        <w:rPr>
          <w:rFonts w:ascii="Times New Roman" w:hAnsi="Times New Roman" w:cs="Times New Roman"/>
        </w:rPr>
        <w:t>as having identified at least four routes to managerial control of the subsidiary:</w:t>
      </w:r>
    </w:p>
    <w:p w14:paraId="6AB5EAC4" w14:textId="77777777" w:rsidR="00A05188" w:rsidRDefault="00A05188" w:rsidP="00B71028">
      <w:pPr>
        <w:pStyle w:val="a6"/>
        <w:numPr>
          <w:ilvl w:val="0"/>
          <w:numId w:val="4"/>
        </w:numPr>
        <w:spacing w:line="276" w:lineRule="auto"/>
        <w:jc w:val="both"/>
        <w:rPr>
          <w:rFonts w:ascii="Times New Roman" w:hAnsi="Times New Roman" w:cs="Times New Roman"/>
        </w:rPr>
      </w:pPr>
      <w:r>
        <w:rPr>
          <w:rFonts w:ascii="Times New Roman" w:hAnsi="Times New Roman" w:cs="Times New Roman"/>
        </w:rPr>
        <w:t>The parent taking over the management or joint management of the relevant aspects of the subsidiary’s activities;</w:t>
      </w:r>
    </w:p>
    <w:p w14:paraId="5FFC4B86" w14:textId="77777777" w:rsidR="00A05188" w:rsidRDefault="00A05188" w:rsidP="00B71028">
      <w:pPr>
        <w:pStyle w:val="a6"/>
        <w:numPr>
          <w:ilvl w:val="0"/>
          <w:numId w:val="4"/>
        </w:numPr>
        <w:spacing w:line="276" w:lineRule="auto"/>
        <w:jc w:val="both"/>
        <w:rPr>
          <w:rFonts w:ascii="Times New Roman" w:hAnsi="Times New Roman" w:cs="Times New Roman"/>
        </w:rPr>
      </w:pPr>
      <w:r>
        <w:rPr>
          <w:rFonts w:ascii="Times New Roman" w:hAnsi="Times New Roman" w:cs="Times New Roman"/>
        </w:rPr>
        <w:lastRenderedPageBreak/>
        <w:t>The parent providing defective advice or defective group-wide policies which the subsidiary implemented without further analysis;</w:t>
      </w:r>
    </w:p>
    <w:p w14:paraId="6CEA4A37" w14:textId="77777777" w:rsidR="00A05188" w:rsidRDefault="00A05188" w:rsidP="00B71028">
      <w:pPr>
        <w:pStyle w:val="a6"/>
        <w:numPr>
          <w:ilvl w:val="0"/>
          <w:numId w:val="4"/>
        </w:numPr>
        <w:spacing w:line="276" w:lineRule="auto"/>
        <w:jc w:val="both"/>
        <w:rPr>
          <w:rFonts w:ascii="Times New Roman" w:hAnsi="Times New Roman" w:cs="Times New Roman"/>
        </w:rPr>
      </w:pPr>
      <w:r>
        <w:rPr>
          <w:rFonts w:ascii="Times New Roman" w:hAnsi="Times New Roman" w:cs="Times New Roman"/>
        </w:rPr>
        <w:t>The parent promulgating group-wide policies and taking active steps to secure their implementation by subsidiaries;</w:t>
      </w:r>
      <w:r w:rsidRPr="00FA3BA0">
        <w:rPr>
          <w:rFonts w:ascii="Times New Roman" w:hAnsi="Times New Roman" w:cs="Times New Roman"/>
        </w:rPr>
        <w:t xml:space="preserve"> </w:t>
      </w:r>
    </w:p>
    <w:p w14:paraId="732E0774" w14:textId="77777777" w:rsidR="00A05188" w:rsidRDefault="00A05188" w:rsidP="00B71028">
      <w:pPr>
        <w:pStyle w:val="a6"/>
        <w:numPr>
          <w:ilvl w:val="0"/>
          <w:numId w:val="4"/>
        </w:numPr>
        <w:spacing w:line="276" w:lineRule="auto"/>
        <w:jc w:val="both"/>
        <w:rPr>
          <w:rFonts w:ascii="Times New Roman" w:hAnsi="Times New Roman" w:cs="Times New Roman"/>
        </w:rPr>
      </w:pPr>
      <w:r>
        <w:rPr>
          <w:rFonts w:ascii="Times New Roman" w:hAnsi="Times New Roman" w:cs="Times New Roman"/>
        </w:rPr>
        <w:t>The parent holding out that it exercises a particular level of control over the subsidiary.</w:t>
      </w:r>
      <w:r>
        <w:rPr>
          <w:rStyle w:val="ab"/>
          <w:rFonts w:ascii="Times New Roman" w:hAnsi="Times New Roman" w:cs="Times New Roman"/>
        </w:rPr>
        <w:footnoteReference w:id="67"/>
      </w:r>
    </w:p>
    <w:p w14:paraId="47E0E780" w14:textId="676BB39F" w:rsidR="00A05188" w:rsidRDefault="00A05188" w:rsidP="00B71028">
      <w:pPr>
        <w:spacing w:line="276" w:lineRule="auto"/>
        <w:jc w:val="both"/>
        <w:rPr>
          <w:rFonts w:ascii="Times New Roman" w:hAnsi="Times New Roman" w:cs="Times New Roman"/>
        </w:rPr>
      </w:pPr>
      <w:r>
        <w:rPr>
          <w:rFonts w:ascii="Times New Roman" w:hAnsi="Times New Roman" w:cs="Times New Roman"/>
        </w:rPr>
        <w:t xml:space="preserve">In </w:t>
      </w:r>
      <w:proofErr w:type="spellStart"/>
      <w:r w:rsidR="00883E71">
        <w:rPr>
          <w:rFonts w:ascii="Times New Roman" w:hAnsi="Times New Roman" w:cs="Times New Roman"/>
          <w:i/>
        </w:rPr>
        <w:t>Okpabi</w:t>
      </w:r>
      <w:proofErr w:type="spellEnd"/>
      <w:r w:rsidRPr="003174EC">
        <w:rPr>
          <w:rStyle w:val="ab"/>
          <w:rFonts w:ascii="Times New Roman" w:hAnsi="Times New Roman" w:cs="Times New Roman"/>
        </w:rPr>
        <w:footnoteReference w:id="68"/>
      </w:r>
      <w:r>
        <w:rPr>
          <w:rFonts w:ascii="Times New Roman" w:hAnsi="Times New Roman" w:cs="Times New Roman"/>
          <w:i/>
        </w:rPr>
        <w:t xml:space="preserve"> </w:t>
      </w:r>
      <w:r>
        <w:rPr>
          <w:rFonts w:ascii="Times New Roman" w:hAnsi="Times New Roman" w:cs="Times New Roman"/>
        </w:rPr>
        <w:t xml:space="preserve">the court’s view was that there was an arguable case under both headings (1) and (3). In </w:t>
      </w:r>
      <w:proofErr w:type="spellStart"/>
      <w:r>
        <w:rPr>
          <w:rFonts w:ascii="Times New Roman" w:hAnsi="Times New Roman" w:cs="Times New Roman"/>
          <w:i/>
        </w:rPr>
        <w:t>Vedenta</w:t>
      </w:r>
      <w:proofErr w:type="spellEnd"/>
      <w:r w:rsidRPr="003174EC">
        <w:rPr>
          <w:rStyle w:val="ab"/>
          <w:rFonts w:ascii="Times New Roman" w:hAnsi="Times New Roman" w:cs="Times New Roman"/>
        </w:rPr>
        <w:footnoteReference w:id="69"/>
      </w:r>
      <w:r w:rsidRPr="003174EC">
        <w:rPr>
          <w:rFonts w:ascii="Times New Roman" w:hAnsi="Times New Roman" w:cs="Times New Roman"/>
        </w:rPr>
        <w:t xml:space="preserve"> </w:t>
      </w:r>
      <w:r>
        <w:rPr>
          <w:rFonts w:ascii="Times New Roman" w:hAnsi="Times New Roman" w:cs="Times New Roman"/>
        </w:rPr>
        <w:t>the focus was primarily on (3).</w:t>
      </w:r>
    </w:p>
    <w:p w14:paraId="1A1DE4CE" w14:textId="2FACC928" w:rsidR="00A05188" w:rsidRDefault="00A05188" w:rsidP="00B71028">
      <w:pPr>
        <w:spacing w:line="276" w:lineRule="auto"/>
        <w:jc w:val="both"/>
        <w:rPr>
          <w:rFonts w:ascii="Times New Roman" w:hAnsi="Times New Roman" w:cs="Times New Roman"/>
        </w:rPr>
      </w:pPr>
      <w:r>
        <w:rPr>
          <w:rFonts w:ascii="Times New Roman" w:hAnsi="Times New Roman" w:cs="Times New Roman"/>
        </w:rPr>
        <w:t xml:space="preserve"> At first sight, managerial control is a more difficult thing for claimants to demonstrate than corporate control. For share ownership, the data are publicly available, both for legal ownership (in all cases) and for beneficial ownership (in publicly traded companies at the 3% level and above and at the 25% level in nearly all cases).</w:t>
      </w:r>
      <w:r>
        <w:rPr>
          <w:rStyle w:val="ab"/>
          <w:rFonts w:ascii="Times New Roman" w:hAnsi="Times New Roman" w:cs="Times New Roman"/>
        </w:rPr>
        <w:footnoteReference w:id="70"/>
      </w:r>
      <w:r>
        <w:rPr>
          <w:rFonts w:ascii="Times New Roman" w:hAnsi="Times New Roman" w:cs="Times New Roman"/>
        </w:rPr>
        <w:t xml:space="preserve"> Managerial control, by contrast, requires information about the internal arrangements of the group, a matter which traditionally has been regarded as of private business concern and so not subject to mandatory disclosure. However, there are at least two ways in which claimants may seek to address this difficulty. First, effective group-wide policies and their implementation are likely to require both internal administrative arrangements </w:t>
      </w:r>
      <w:proofErr w:type="gramStart"/>
      <w:r>
        <w:rPr>
          <w:rFonts w:ascii="Times New Roman" w:hAnsi="Times New Roman" w:cs="Times New Roman"/>
        </w:rPr>
        <w:t>for the production of</w:t>
      </w:r>
      <w:proofErr w:type="gramEnd"/>
      <w:r>
        <w:rPr>
          <w:rFonts w:ascii="Times New Roman" w:hAnsi="Times New Roman" w:cs="Times New Roman"/>
        </w:rPr>
        <w:t xml:space="preserve"> those policies and their dissemination to the relevant levels of parent and subsidiary management. The policies cannot be locked away in the CEO’s safe if they are to have an impact nor the source of their authority be obscured; on the contrary, they will become available to a significant number of employees of the parent or subsidiary. In </w:t>
      </w:r>
      <w:proofErr w:type="spellStart"/>
      <w:r w:rsidR="00883E71">
        <w:rPr>
          <w:rFonts w:ascii="Times New Roman" w:hAnsi="Times New Roman" w:cs="Times New Roman"/>
          <w:i/>
        </w:rPr>
        <w:t>Okpabi</w:t>
      </w:r>
      <w:proofErr w:type="spellEnd"/>
      <w:r>
        <w:rPr>
          <w:rFonts w:ascii="Times New Roman" w:hAnsi="Times New Roman" w:cs="Times New Roman"/>
          <w:i/>
        </w:rPr>
        <w:t xml:space="preserve"> </w:t>
      </w:r>
      <w:r>
        <w:rPr>
          <w:rFonts w:ascii="Times New Roman" w:hAnsi="Times New Roman" w:cs="Times New Roman"/>
        </w:rPr>
        <w:t>the claimants relied on information provided by former employees of Shell as to both the administrative arrangements and the content of the policies.</w:t>
      </w:r>
      <w:r>
        <w:rPr>
          <w:rStyle w:val="ab"/>
          <w:rFonts w:ascii="Times New Roman" w:hAnsi="Times New Roman" w:cs="Times New Roman"/>
        </w:rPr>
        <w:footnoteReference w:id="71"/>
      </w:r>
      <w:r>
        <w:rPr>
          <w:rFonts w:ascii="Times New Roman" w:hAnsi="Times New Roman" w:cs="Times New Roman"/>
        </w:rPr>
        <w:t xml:space="preserve"> </w:t>
      </w:r>
    </w:p>
    <w:p w14:paraId="07DF7B5F" w14:textId="77777777" w:rsidR="00A05188" w:rsidRDefault="00A05188" w:rsidP="00B71028">
      <w:pPr>
        <w:spacing w:line="276" w:lineRule="auto"/>
        <w:jc w:val="both"/>
        <w:rPr>
          <w:rFonts w:ascii="Times New Roman" w:hAnsi="Times New Roman" w:cs="Times New Roman"/>
        </w:rPr>
      </w:pPr>
      <w:r>
        <w:rPr>
          <w:rFonts w:ascii="Times New Roman" w:hAnsi="Times New Roman" w:cs="Times New Roman"/>
        </w:rPr>
        <w:t>Second, over the course of this century, publicly traded companies have come under obligations to publish documents relating to matters which might have been regarded previously of only internal concern. Thus, under the Companies Act 2006 companies are required to produce as part of their annual accounts a “strategic” report, which in the case of “quoted”</w:t>
      </w:r>
      <w:r>
        <w:rPr>
          <w:rStyle w:val="ab"/>
          <w:rFonts w:ascii="Times New Roman" w:hAnsi="Times New Roman" w:cs="Times New Roman"/>
        </w:rPr>
        <w:footnoteReference w:id="72"/>
      </w:r>
      <w:r>
        <w:rPr>
          <w:rFonts w:ascii="Times New Roman" w:hAnsi="Times New Roman" w:cs="Times New Roman"/>
        </w:rPr>
        <w:t xml:space="preserve"> UK companies, includes “non-financial” information on:</w:t>
      </w:r>
    </w:p>
    <w:p w14:paraId="238C9865" w14:textId="77777777" w:rsidR="00A05188" w:rsidRDefault="00A05188" w:rsidP="00B71028">
      <w:pPr>
        <w:pStyle w:val="a6"/>
        <w:numPr>
          <w:ilvl w:val="0"/>
          <w:numId w:val="5"/>
        </w:numPr>
        <w:spacing w:line="276" w:lineRule="auto"/>
        <w:jc w:val="both"/>
        <w:rPr>
          <w:rFonts w:ascii="Times New Roman" w:hAnsi="Times New Roman" w:cs="Times New Roman"/>
        </w:rPr>
      </w:pPr>
      <w:r>
        <w:rPr>
          <w:rFonts w:ascii="Times New Roman" w:hAnsi="Times New Roman" w:cs="Times New Roman"/>
        </w:rPr>
        <w:t>Environmental matters (including the impact of the company’s activities on the environment)</w:t>
      </w:r>
      <w:r>
        <w:rPr>
          <w:rStyle w:val="ab"/>
          <w:rFonts w:ascii="Times New Roman" w:hAnsi="Times New Roman" w:cs="Times New Roman"/>
        </w:rPr>
        <w:footnoteReference w:id="73"/>
      </w:r>
      <w:r>
        <w:rPr>
          <w:rFonts w:ascii="Times New Roman" w:hAnsi="Times New Roman" w:cs="Times New Roman"/>
        </w:rPr>
        <w:t>;</w:t>
      </w:r>
    </w:p>
    <w:p w14:paraId="63BF2CF6" w14:textId="77777777" w:rsidR="00A05188" w:rsidRDefault="00A05188" w:rsidP="00B71028">
      <w:pPr>
        <w:pStyle w:val="a6"/>
        <w:numPr>
          <w:ilvl w:val="0"/>
          <w:numId w:val="5"/>
        </w:numPr>
        <w:spacing w:line="276" w:lineRule="auto"/>
        <w:jc w:val="both"/>
        <w:rPr>
          <w:rFonts w:ascii="Times New Roman" w:hAnsi="Times New Roman" w:cs="Times New Roman"/>
        </w:rPr>
      </w:pPr>
      <w:r>
        <w:rPr>
          <w:rFonts w:ascii="Times New Roman" w:hAnsi="Times New Roman" w:cs="Times New Roman"/>
        </w:rPr>
        <w:t>The company’s employees;</w:t>
      </w:r>
    </w:p>
    <w:p w14:paraId="382CC424" w14:textId="77777777" w:rsidR="00A05188" w:rsidRDefault="00A05188" w:rsidP="00B71028">
      <w:pPr>
        <w:pStyle w:val="a6"/>
        <w:numPr>
          <w:ilvl w:val="0"/>
          <w:numId w:val="5"/>
        </w:numPr>
        <w:spacing w:line="276" w:lineRule="auto"/>
        <w:jc w:val="both"/>
        <w:rPr>
          <w:rFonts w:ascii="Times New Roman" w:hAnsi="Times New Roman" w:cs="Times New Roman"/>
        </w:rPr>
      </w:pPr>
      <w:r>
        <w:rPr>
          <w:rFonts w:ascii="Times New Roman" w:hAnsi="Times New Roman" w:cs="Times New Roman"/>
        </w:rPr>
        <w:t>Social matters;</w:t>
      </w:r>
    </w:p>
    <w:p w14:paraId="286D6CB3" w14:textId="77777777" w:rsidR="00A05188" w:rsidRDefault="00A05188" w:rsidP="00B71028">
      <w:pPr>
        <w:pStyle w:val="a6"/>
        <w:numPr>
          <w:ilvl w:val="0"/>
          <w:numId w:val="5"/>
        </w:numPr>
        <w:spacing w:line="276" w:lineRule="auto"/>
        <w:jc w:val="both"/>
        <w:rPr>
          <w:rFonts w:ascii="Times New Roman" w:hAnsi="Times New Roman" w:cs="Times New Roman"/>
        </w:rPr>
      </w:pPr>
      <w:r>
        <w:rPr>
          <w:rFonts w:ascii="Times New Roman" w:hAnsi="Times New Roman" w:cs="Times New Roman"/>
        </w:rPr>
        <w:t>Respect for human rights</w:t>
      </w:r>
    </w:p>
    <w:p w14:paraId="08EFDDC8" w14:textId="77777777" w:rsidR="00A05188" w:rsidRDefault="00A05188" w:rsidP="00B71028">
      <w:pPr>
        <w:pStyle w:val="a6"/>
        <w:numPr>
          <w:ilvl w:val="0"/>
          <w:numId w:val="5"/>
        </w:numPr>
        <w:spacing w:line="276" w:lineRule="auto"/>
        <w:jc w:val="both"/>
        <w:rPr>
          <w:rFonts w:ascii="Times New Roman" w:hAnsi="Times New Roman" w:cs="Times New Roman"/>
        </w:rPr>
      </w:pPr>
      <w:r>
        <w:rPr>
          <w:rFonts w:ascii="Times New Roman" w:hAnsi="Times New Roman" w:cs="Times New Roman"/>
        </w:rPr>
        <w:lastRenderedPageBreak/>
        <w:t>Anti-corruption and bribery matters.</w:t>
      </w:r>
    </w:p>
    <w:p w14:paraId="751BF175" w14:textId="7E9C4D6B" w:rsidR="00A05188" w:rsidRDefault="00A05188" w:rsidP="00B71028">
      <w:pPr>
        <w:spacing w:line="276" w:lineRule="auto"/>
        <w:jc w:val="both"/>
        <w:rPr>
          <w:rFonts w:ascii="Times New Roman" w:hAnsi="Times New Roman" w:cs="Times New Roman"/>
        </w:rPr>
      </w:pPr>
      <w:r>
        <w:rPr>
          <w:rFonts w:ascii="Times New Roman" w:hAnsi="Times New Roman" w:cs="Times New Roman"/>
        </w:rPr>
        <w:t>This information must include descriptions of the corporate policies or due diligence policies pursued in relation to these matters (or an explanation of why the company does not have policies on a particular matter), of the outcomes of these policies, of the risks the company faces in these areas which are likely to have an adverse impact and of how it manages these risks.</w:t>
      </w:r>
      <w:r>
        <w:rPr>
          <w:rStyle w:val="ab"/>
          <w:rFonts w:ascii="Times New Roman" w:hAnsi="Times New Roman" w:cs="Times New Roman"/>
        </w:rPr>
        <w:footnoteReference w:id="74"/>
      </w:r>
      <w:r>
        <w:rPr>
          <w:rFonts w:ascii="Times New Roman" w:hAnsi="Times New Roman" w:cs="Times New Roman"/>
        </w:rPr>
        <w:t xml:space="preserve"> Reputational incentives are likely to encourage large publicly traded companies to adopt policies rather than report that </w:t>
      </w:r>
      <w:r w:rsidR="008C645D">
        <w:rPr>
          <w:rFonts w:ascii="Times New Roman" w:hAnsi="Times New Roman" w:cs="Times New Roman"/>
        </w:rPr>
        <w:t>the absence of</w:t>
      </w:r>
      <w:r>
        <w:rPr>
          <w:rFonts w:ascii="Times New Roman" w:hAnsi="Times New Roman" w:cs="Times New Roman"/>
        </w:rPr>
        <w:t xml:space="preserve"> such policies.</w:t>
      </w:r>
      <w:r>
        <w:rPr>
          <w:rStyle w:val="ab"/>
          <w:rFonts w:ascii="Times New Roman" w:hAnsi="Times New Roman" w:cs="Times New Roman"/>
        </w:rPr>
        <w:footnoteReference w:id="75"/>
      </w:r>
      <w:r>
        <w:rPr>
          <w:rFonts w:ascii="Times New Roman" w:hAnsi="Times New Roman" w:cs="Times New Roman"/>
        </w:rPr>
        <w:t xml:space="preserve">  </w:t>
      </w:r>
    </w:p>
    <w:p w14:paraId="4C0B115C" w14:textId="3337B581" w:rsidR="00A05188" w:rsidRDefault="00A05188" w:rsidP="00B71028">
      <w:pPr>
        <w:spacing w:line="276" w:lineRule="auto"/>
        <w:jc w:val="both"/>
        <w:rPr>
          <w:rFonts w:ascii="Times New Roman" w:hAnsi="Times New Roman" w:cs="Times New Roman"/>
        </w:rPr>
      </w:pPr>
      <w:r>
        <w:rPr>
          <w:rFonts w:ascii="Times New Roman" w:hAnsi="Times New Roman" w:cs="Times New Roman"/>
        </w:rPr>
        <w:t xml:space="preserve">Consequently, there will be in the public domain a significant amount of material relating to the level of control exercised by parent companies over subsidiaries. So, in </w:t>
      </w:r>
      <w:r>
        <w:rPr>
          <w:rFonts w:ascii="Times New Roman" w:hAnsi="Times New Roman" w:cs="Times New Roman"/>
          <w:i/>
        </w:rPr>
        <w:t xml:space="preserve">Vedanta </w:t>
      </w:r>
      <w:r>
        <w:rPr>
          <w:rFonts w:ascii="Times New Roman" w:hAnsi="Times New Roman" w:cs="Times New Roman"/>
        </w:rPr>
        <w:t>Lord Briggs, whilst discounting the significance of a management services agreement between parent and subsidiary, concluded: “But I regard the published materials in which Vedanta may fairly be said to have asserted its own assumption of responsibility for the maintenance of proper standards of environmental control over the activities of its subsidiaries . . . and not merely to have laid down but also implemented those standards by training, monitoring and enforcement, as sufficient on their own to show that it is well arguable” that the parent exercised the requisite degree of control over the subsidiary.</w:t>
      </w:r>
      <w:r>
        <w:rPr>
          <w:rStyle w:val="ab"/>
          <w:rFonts w:ascii="Times New Roman" w:hAnsi="Times New Roman" w:cs="Times New Roman"/>
        </w:rPr>
        <w:footnoteReference w:id="76"/>
      </w:r>
      <w:r>
        <w:rPr>
          <w:rFonts w:ascii="Times New Roman" w:hAnsi="Times New Roman" w:cs="Times New Roman"/>
        </w:rPr>
        <w:t xml:space="preserve"> In </w:t>
      </w:r>
      <w:proofErr w:type="spellStart"/>
      <w:r w:rsidR="00883E71">
        <w:rPr>
          <w:rFonts w:ascii="Times New Roman" w:hAnsi="Times New Roman" w:cs="Times New Roman"/>
          <w:i/>
        </w:rPr>
        <w:t>Okpabi</w:t>
      </w:r>
      <w:proofErr w:type="spellEnd"/>
      <w:r>
        <w:rPr>
          <w:rFonts w:ascii="Times New Roman" w:hAnsi="Times New Roman" w:cs="Times New Roman"/>
          <w:i/>
        </w:rPr>
        <w:t xml:space="preserve"> </w:t>
      </w:r>
      <w:r>
        <w:rPr>
          <w:rFonts w:ascii="Times New Roman" w:hAnsi="Times New Roman" w:cs="Times New Roman"/>
        </w:rPr>
        <w:t>the Court of Appeal, although, unlike the Supreme Court, finding in favour of Shell, held that the first instance judge had been wrong to place no reliance on “</w:t>
      </w:r>
      <w:r w:rsidRPr="001E1D5E">
        <w:rPr>
          <w:rFonts w:ascii="Times New Roman" w:hAnsi="Times New Roman" w:cs="Times New Roman"/>
        </w:rPr>
        <w:t>publicly available</w:t>
      </w:r>
      <w:r>
        <w:rPr>
          <w:rFonts w:ascii="Times New Roman" w:hAnsi="Times New Roman" w:cs="Times New Roman"/>
        </w:rPr>
        <w:t xml:space="preserve"> Shell corporate documentation </w:t>
      </w:r>
      <w:r w:rsidRPr="001E1D5E">
        <w:rPr>
          <w:rFonts w:ascii="Times New Roman" w:hAnsi="Times New Roman" w:cs="Times New Roman"/>
        </w:rPr>
        <w:t>which had been produced in the context of fulfilment of listing obligations.</w:t>
      </w:r>
      <w:r>
        <w:rPr>
          <w:rFonts w:ascii="Times New Roman" w:hAnsi="Times New Roman" w:cs="Times New Roman"/>
        </w:rPr>
        <w:t>”</w:t>
      </w:r>
      <w:r>
        <w:rPr>
          <w:rStyle w:val="ab"/>
          <w:rFonts w:ascii="Times New Roman" w:hAnsi="Times New Roman" w:cs="Times New Roman"/>
        </w:rPr>
        <w:footnoteReference w:id="77"/>
      </w:r>
    </w:p>
    <w:p w14:paraId="78A91B32" w14:textId="57189BBA" w:rsidR="00A05188" w:rsidRDefault="00A05188" w:rsidP="00B71028">
      <w:pPr>
        <w:spacing w:line="276" w:lineRule="auto"/>
        <w:jc w:val="both"/>
        <w:rPr>
          <w:rFonts w:ascii="Times New Roman" w:hAnsi="Times New Roman" w:cs="Times New Roman"/>
        </w:rPr>
      </w:pPr>
      <w:r>
        <w:rPr>
          <w:rFonts w:ascii="Times New Roman" w:hAnsi="Times New Roman" w:cs="Times New Roman"/>
        </w:rPr>
        <w:t xml:space="preserve">One can imagine that, after these Supreme Court decisions, the parent company’s lawyers will have a greater input into the documents posted on the company’s </w:t>
      </w:r>
      <w:proofErr w:type="gramStart"/>
      <w:r>
        <w:rPr>
          <w:rFonts w:ascii="Times New Roman" w:hAnsi="Times New Roman" w:cs="Times New Roman"/>
        </w:rPr>
        <w:t>web-site</w:t>
      </w:r>
      <w:proofErr w:type="gramEnd"/>
      <w:r>
        <w:rPr>
          <w:rFonts w:ascii="Times New Roman" w:hAnsi="Times New Roman" w:cs="Times New Roman"/>
        </w:rPr>
        <w:t xml:space="preserve">, and the company’s communications departments a lesser one. It will be interesting to see how this tension is resolved. On the one hand, there is growing regulatory and investor pressure on companies to reveal increasing amounts of detailed non-financial information; on the other hand, the company’s lawyers will be </w:t>
      </w:r>
      <w:proofErr w:type="gramStart"/>
      <w:r>
        <w:rPr>
          <w:rFonts w:ascii="Times New Roman" w:hAnsi="Times New Roman" w:cs="Times New Roman"/>
        </w:rPr>
        <w:t>well aware</w:t>
      </w:r>
      <w:proofErr w:type="gramEnd"/>
      <w:r>
        <w:rPr>
          <w:rFonts w:ascii="Times New Roman" w:hAnsi="Times New Roman" w:cs="Times New Roman"/>
        </w:rPr>
        <w:t xml:space="preserve"> of the litigation risks. My guess is that the former will win out.</w:t>
      </w:r>
    </w:p>
    <w:p w14:paraId="0A854E45" w14:textId="5273F5CE" w:rsidR="00A05188" w:rsidRDefault="00A05188" w:rsidP="00B71028">
      <w:pPr>
        <w:spacing w:line="276" w:lineRule="auto"/>
        <w:jc w:val="both"/>
        <w:rPr>
          <w:rFonts w:ascii="Times New Roman" w:hAnsi="Times New Roman" w:cs="Times New Roman"/>
        </w:rPr>
      </w:pPr>
      <w:r>
        <w:rPr>
          <w:rFonts w:ascii="Times New Roman" w:hAnsi="Times New Roman" w:cs="Times New Roman"/>
        </w:rPr>
        <w:t xml:space="preserve">It is inherent in the courts’ approach to the direct duty of care that the control tests developed above will not necessarily lead to the conclusion that a duty of care on the part of the parent has been triggered in relation to the activities of the subsidiary. In </w:t>
      </w:r>
      <w:r>
        <w:rPr>
          <w:rFonts w:ascii="Times New Roman" w:hAnsi="Times New Roman" w:cs="Times New Roman"/>
          <w:i/>
        </w:rPr>
        <w:t>AAA v Unilever plc</w:t>
      </w:r>
      <w:r>
        <w:rPr>
          <w:rFonts w:ascii="Times New Roman" w:hAnsi="Times New Roman" w:cs="Times New Roman"/>
        </w:rPr>
        <w:t>,</w:t>
      </w:r>
      <w:r w:rsidRPr="00B813B2">
        <w:rPr>
          <w:rStyle w:val="ab"/>
          <w:rFonts w:ascii="Times New Roman" w:hAnsi="Times New Roman" w:cs="Times New Roman"/>
        </w:rPr>
        <w:footnoteReference w:id="78"/>
      </w:r>
      <w:r>
        <w:rPr>
          <w:rFonts w:ascii="Times New Roman" w:hAnsi="Times New Roman" w:cs="Times New Roman"/>
        </w:rPr>
        <w:t xml:space="preserve"> where Sales LJ articulated the “ordinary tort” approach</w:t>
      </w:r>
      <w:r w:rsidR="008C645D">
        <w:rPr>
          <w:rFonts w:ascii="Times New Roman" w:hAnsi="Times New Roman" w:cs="Times New Roman"/>
        </w:rPr>
        <w:t>,</w:t>
      </w:r>
      <w:r>
        <w:rPr>
          <w:rFonts w:ascii="Times New Roman" w:hAnsi="Times New Roman" w:cs="Times New Roman"/>
        </w:rPr>
        <w:t xml:space="preserve"> which was subsequently endorsed by the Supreme Court, the </w:t>
      </w:r>
      <w:r w:rsidR="008C645D">
        <w:rPr>
          <w:rFonts w:ascii="Times New Roman" w:hAnsi="Times New Roman" w:cs="Times New Roman"/>
        </w:rPr>
        <w:t xml:space="preserve">court </w:t>
      </w:r>
      <w:r w:rsidR="009A271E">
        <w:rPr>
          <w:rFonts w:ascii="Times New Roman" w:hAnsi="Times New Roman" w:cs="Times New Roman"/>
        </w:rPr>
        <w:t>concluded that</w:t>
      </w:r>
      <w:r>
        <w:rPr>
          <w:rFonts w:ascii="Times New Roman" w:hAnsi="Times New Roman" w:cs="Times New Roman"/>
        </w:rPr>
        <w:t xml:space="preserve"> the evidence did not disclose an arguable case that the parent owed a duty of care to the claimant employees of the subsidiary. Those employees had been victims of inter-tribal violence following presidential elections in Kenya, when the tea plantation in which they worked and the associated housing in which they lived had been attacked by “marauding mobs” as part of a national breakdown in law and order. The Court of Appeal upheld the first instance judge’s conclusion (Elisabeth Laing J, as she then was) that </w:t>
      </w:r>
      <w:r>
        <w:rPr>
          <w:rFonts w:ascii="Times New Roman" w:hAnsi="Times New Roman" w:cs="Times New Roman"/>
        </w:rPr>
        <w:lastRenderedPageBreak/>
        <w:t>the parent owed the employees of the subsidiary no duty to protect them from such an event. The evidence showed that the subsidiary carried out its own crisis management training, drafted its own policies and received no specific advice from the parent. Although the parent was seeking to run the Unilever group as a single operating unit</w:t>
      </w:r>
      <w:r w:rsidRPr="00586EB3">
        <w:rPr>
          <w:rFonts w:ascii="Times New Roman" w:hAnsi="Times New Roman" w:cs="Times New Roman"/>
        </w:rPr>
        <w:t xml:space="preserve"> </w:t>
      </w:r>
      <w:r>
        <w:rPr>
          <w:rFonts w:ascii="Times New Roman" w:hAnsi="Times New Roman" w:cs="Times New Roman"/>
        </w:rPr>
        <w:t xml:space="preserve">and had developed group-wide policies, </w:t>
      </w:r>
      <w:proofErr w:type="gramStart"/>
      <w:r>
        <w:rPr>
          <w:rFonts w:ascii="Times New Roman" w:hAnsi="Times New Roman" w:cs="Times New Roman"/>
        </w:rPr>
        <w:t>in particular,</w:t>
      </w:r>
      <w:proofErr w:type="gramEnd"/>
      <w:r>
        <w:rPr>
          <w:rFonts w:ascii="Times New Roman" w:hAnsi="Times New Roman" w:cs="Times New Roman"/>
        </w:rPr>
        <w:t xml:space="preserve"> a crisis management policy, that policy made it clear that responsibility for producing crisis management procedures lay below the parent company level.</w:t>
      </w:r>
      <w:r>
        <w:rPr>
          <w:rStyle w:val="ab"/>
          <w:rFonts w:ascii="Times New Roman" w:hAnsi="Times New Roman" w:cs="Times New Roman"/>
        </w:rPr>
        <w:footnoteReference w:id="79"/>
      </w:r>
    </w:p>
    <w:p w14:paraId="37185F58" w14:textId="325B5581" w:rsidR="00A05188" w:rsidRPr="006D02AD" w:rsidRDefault="00A05188" w:rsidP="00B71028">
      <w:pPr>
        <w:pStyle w:val="a6"/>
        <w:numPr>
          <w:ilvl w:val="0"/>
          <w:numId w:val="6"/>
        </w:numPr>
        <w:spacing w:line="276" w:lineRule="auto"/>
        <w:jc w:val="both"/>
        <w:rPr>
          <w:rFonts w:ascii="Times New Roman" w:hAnsi="Times New Roman" w:cs="Times New Roman"/>
        </w:rPr>
      </w:pPr>
      <w:r w:rsidRPr="006D02AD">
        <w:rPr>
          <w:rFonts w:ascii="Times New Roman" w:hAnsi="Times New Roman" w:cs="Times New Roman"/>
        </w:rPr>
        <w:t>Dangerous Situation Theory</w:t>
      </w:r>
    </w:p>
    <w:p w14:paraId="3D0E883D" w14:textId="12345AFB" w:rsidR="00A05188" w:rsidRDefault="00A05188" w:rsidP="00B71028">
      <w:pPr>
        <w:spacing w:line="276" w:lineRule="auto"/>
        <w:jc w:val="both"/>
        <w:rPr>
          <w:rFonts w:ascii="Times New Roman" w:eastAsia="Times New Roman" w:hAnsi="Times New Roman" w:cs="Times New Roman"/>
        </w:rPr>
      </w:pPr>
      <w:r>
        <w:rPr>
          <w:rFonts w:ascii="Times New Roman" w:hAnsi="Times New Roman" w:cs="Times New Roman"/>
        </w:rPr>
        <w:t xml:space="preserve">In </w:t>
      </w:r>
      <w:r>
        <w:rPr>
          <w:rFonts w:ascii="Times New Roman" w:hAnsi="Times New Roman" w:cs="Times New Roman"/>
          <w:i/>
        </w:rPr>
        <w:t>Begum v Maran (UK) Ltd</w:t>
      </w:r>
      <w:r w:rsidRPr="001E3AEE">
        <w:rPr>
          <w:rStyle w:val="ab"/>
          <w:rFonts w:ascii="Times New Roman" w:hAnsi="Times New Roman" w:cs="Times New Roman"/>
        </w:rPr>
        <w:footnoteReference w:id="80"/>
      </w:r>
      <w:r>
        <w:rPr>
          <w:rFonts w:ascii="Times New Roman" w:hAnsi="Times New Roman" w:cs="Times New Roman"/>
          <w:i/>
        </w:rPr>
        <w:t xml:space="preserve"> </w:t>
      </w:r>
      <w:r>
        <w:rPr>
          <w:rFonts w:ascii="Times New Roman" w:hAnsi="Times New Roman" w:cs="Times New Roman"/>
        </w:rPr>
        <w:t xml:space="preserve">the Court of Appeal refused to strike out a claim that A is liable to C where A is responsible for or has created a </w:t>
      </w:r>
      <w:r w:rsidR="00A50EE7">
        <w:rPr>
          <w:rFonts w:ascii="Times New Roman" w:hAnsi="Times New Roman" w:cs="Times New Roman"/>
        </w:rPr>
        <w:t xml:space="preserve">situation of </w:t>
      </w:r>
      <w:r>
        <w:rPr>
          <w:rFonts w:ascii="Times New Roman" w:hAnsi="Times New Roman" w:cs="Times New Roman"/>
        </w:rPr>
        <w:t xml:space="preserve">danger which B has then exploited and, in so doing, has caused harm to C. The defendant was a </w:t>
      </w:r>
      <w:proofErr w:type="gramStart"/>
      <w:r>
        <w:rPr>
          <w:rFonts w:ascii="Times New Roman" w:hAnsi="Times New Roman" w:cs="Times New Roman"/>
        </w:rPr>
        <w:t>ship-broker</w:t>
      </w:r>
      <w:proofErr w:type="gramEnd"/>
      <w:r>
        <w:rPr>
          <w:rFonts w:ascii="Times New Roman" w:hAnsi="Times New Roman" w:cs="Times New Roman"/>
        </w:rPr>
        <w:t xml:space="preserve"> which had undertaken to dispose of ships owned by other group companies when they reached the end of their useful lives. The defendant disposed of the tanker in question for cash to </w:t>
      </w:r>
      <w:proofErr w:type="spellStart"/>
      <w:r w:rsidRPr="00EE79EC">
        <w:rPr>
          <w:rFonts w:ascii="Times New Roman" w:eastAsia="Times New Roman" w:hAnsi="Times New Roman" w:cs="Times New Roman"/>
        </w:rPr>
        <w:t>Hsejar</w:t>
      </w:r>
      <w:proofErr w:type="spellEnd"/>
      <w:r w:rsidRPr="00EE79EC">
        <w:rPr>
          <w:rFonts w:ascii="Times New Roman" w:eastAsia="Times New Roman" w:hAnsi="Times New Roman" w:cs="Times New Roman"/>
        </w:rPr>
        <w:t xml:space="preserve"> Maritime Inc</w:t>
      </w:r>
      <w:r>
        <w:rPr>
          <w:rFonts w:ascii="Times New Roman" w:eastAsia="Times New Roman" w:hAnsi="Times New Roman" w:cs="Times New Roman"/>
        </w:rPr>
        <w:t xml:space="preserve">, a company incorporated in Nevis, on the basis that </w:t>
      </w:r>
      <w:proofErr w:type="spellStart"/>
      <w:r>
        <w:rPr>
          <w:rFonts w:ascii="Times New Roman" w:eastAsia="Times New Roman" w:hAnsi="Times New Roman" w:cs="Times New Roman"/>
        </w:rPr>
        <w:t>Hsejar</w:t>
      </w:r>
      <w:proofErr w:type="spellEnd"/>
      <w:r>
        <w:rPr>
          <w:rFonts w:ascii="Times New Roman" w:eastAsia="Times New Roman" w:hAnsi="Times New Roman" w:cs="Times New Roman"/>
        </w:rPr>
        <w:t xml:space="preserve"> would arrange for the ship to be broken up. </w:t>
      </w:r>
      <w:proofErr w:type="spellStart"/>
      <w:r>
        <w:rPr>
          <w:rFonts w:ascii="Times New Roman" w:eastAsia="Times New Roman" w:hAnsi="Times New Roman" w:cs="Times New Roman"/>
        </w:rPr>
        <w:t>Hsejar</w:t>
      </w:r>
      <w:proofErr w:type="spellEnd"/>
      <w:r>
        <w:rPr>
          <w:rFonts w:ascii="Times New Roman" w:eastAsia="Times New Roman" w:hAnsi="Times New Roman" w:cs="Times New Roman"/>
        </w:rPr>
        <w:t xml:space="preserve"> arranged this with the Zumar Enterprise Yard in Bangladesh. The “yard” consisted essentially of tidal mud flats on which the tanker was beached and was then broken up without significant dockside support structure and in extremely unsafe working conditions. The claimant’s husband fell and died in the breaking up process.</w:t>
      </w:r>
    </w:p>
    <w:p w14:paraId="718D5AC2" w14:textId="4C26D7D4" w:rsidR="00A05188" w:rsidRDefault="00A05188" w:rsidP="00B71028">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Court held that, on the assumed facts, it could not be said that there was no reasonable prospect of success for the argument that the claim fell within an exception to the </w:t>
      </w:r>
      <w:r w:rsidRPr="00F94E39">
        <w:rPr>
          <w:rFonts w:ascii="Times New Roman" w:eastAsia="Times New Roman" w:hAnsi="Times New Roman" w:cs="Times New Roman"/>
          <w:i/>
        </w:rPr>
        <w:t>novus actus interveniens</w:t>
      </w:r>
      <w:r>
        <w:rPr>
          <w:rFonts w:ascii="Times New Roman" w:eastAsia="Times New Roman" w:hAnsi="Times New Roman" w:cs="Times New Roman"/>
        </w:rPr>
        <w:t xml:space="preserve"> doctrine. Although most of the previous cases dealing with this exception had arisen in the public sector, it was arguable that </w:t>
      </w:r>
      <w:r w:rsidRPr="00CD3468">
        <w:rPr>
          <w:rFonts w:ascii="Times New Roman" w:eastAsia="Times New Roman" w:hAnsi="Times New Roman" w:cs="Times New Roman"/>
        </w:rPr>
        <w:t xml:space="preserve">the </w:t>
      </w:r>
      <w:r>
        <w:rPr>
          <w:rFonts w:ascii="Times New Roman" w:eastAsia="Times New Roman" w:hAnsi="Times New Roman" w:cs="Times New Roman"/>
        </w:rPr>
        <w:t>defendant</w:t>
      </w:r>
      <w:r w:rsidRPr="00CD3468">
        <w:rPr>
          <w:rFonts w:ascii="Times New Roman" w:eastAsia="Times New Roman" w:hAnsi="Times New Roman" w:cs="Times New Roman"/>
        </w:rPr>
        <w:t xml:space="preserve"> played an active role </w:t>
      </w:r>
      <w:r w:rsidR="008F361D">
        <w:rPr>
          <w:rFonts w:ascii="Times New Roman" w:eastAsia="Times New Roman" w:hAnsi="Times New Roman" w:cs="Times New Roman"/>
        </w:rPr>
        <w:t xml:space="preserve">in the process by which the vessel ended up in </w:t>
      </w:r>
      <w:r w:rsidRPr="00CD3468">
        <w:rPr>
          <w:rFonts w:ascii="Times New Roman" w:eastAsia="Times New Roman" w:hAnsi="Times New Roman" w:cs="Times New Roman"/>
        </w:rPr>
        <w:t>Bangladesh</w:t>
      </w:r>
      <w:r w:rsidR="008F361D">
        <w:rPr>
          <w:rFonts w:ascii="Times New Roman" w:eastAsia="Times New Roman" w:hAnsi="Times New Roman" w:cs="Times New Roman"/>
        </w:rPr>
        <w:t xml:space="preserve"> and in this process</w:t>
      </w:r>
      <w:r w:rsidRPr="00CD3468">
        <w:rPr>
          <w:rFonts w:ascii="Times New Roman" w:eastAsia="Times New Roman" w:hAnsi="Times New Roman" w:cs="Times New Roman"/>
        </w:rPr>
        <w:t xml:space="preserve"> knowingly expos</w:t>
      </w:r>
      <w:r w:rsidR="008F361D">
        <w:rPr>
          <w:rFonts w:ascii="Times New Roman" w:eastAsia="Times New Roman" w:hAnsi="Times New Roman" w:cs="Times New Roman"/>
        </w:rPr>
        <w:t>ed</w:t>
      </w:r>
      <w:r w:rsidRPr="00CD3468">
        <w:rPr>
          <w:rFonts w:ascii="Times New Roman" w:eastAsia="Times New Roman" w:hAnsi="Times New Roman" w:cs="Times New Roman"/>
        </w:rPr>
        <w:t xml:space="preserve"> workers to the significant dangers.</w:t>
      </w:r>
      <w:r>
        <w:rPr>
          <w:rStyle w:val="ab"/>
          <w:rFonts w:ascii="Times New Roman" w:eastAsia="Times New Roman" w:hAnsi="Times New Roman" w:cs="Times New Roman"/>
        </w:rPr>
        <w:footnoteReference w:id="81"/>
      </w:r>
      <w:r>
        <w:rPr>
          <w:rFonts w:ascii="Times New Roman" w:eastAsia="Times New Roman" w:hAnsi="Times New Roman" w:cs="Times New Roman"/>
        </w:rPr>
        <w:t xml:space="preserve"> The knowledge arose from two main facts of which the defendant was aware. First, the structure of the industry was that, for ships of this size, the only safe break-up yards were in China, while it was known that Bangladesh (and some other countries) operated extremely unsafe “beaching” operations. Second, the price paid to the defendant by </w:t>
      </w:r>
      <w:proofErr w:type="spellStart"/>
      <w:r>
        <w:rPr>
          <w:rFonts w:ascii="Times New Roman" w:eastAsia="Times New Roman" w:hAnsi="Times New Roman" w:cs="Times New Roman"/>
        </w:rPr>
        <w:t>Hsejar</w:t>
      </w:r>
      <w:proofErr w:type="spellEnd"/>
      <w:r>
        <w:rPr>
          <w:rFonts w:ascii="Times New Roman" w:eastAsia="Times New Roman" w:hAnsi="Times New Roman" w:cs="Times New Roman"/>
        </w:rPr>
        <w:t xml:space="preserve"> was one which was appropriate only on the basis that the ship was not to be broken up in China, where costs were higher, but in Bangladesh. Finally, the defendant could have protected itself by including and enforcing a safe break-up clause in the contract with </w:t>
      </w:r>
      <w:proofErr w:type="spellStart"/>
      <w:r>
        <w:rPr>
          <w:rFonts w:ascii="Times New Roman" w:eastAsia="Times New Roman" w:hAnsi="Times New Roman" w:cs="Times New Roman"/>
        </w:rPr>
        <w:t>Hsejar</w:t>
      </w:r>
      <w:proofErr w:type="spellEnd"/>
      <w:r>
        <w:rPr>
          <w:rFonts w:ascii="Times New Roman" w:eastAsia="Times New Roman" w:hAnsi="Times New Roman" w:cs="Times New Roman"/>
        </w:rPr>
        <w:t>.</w:t>
      </w:r>
      <w:r>
        <w:rPr>
          <w:rStyle w:val="ab"/>
          <w:rFonts w:ascii="Times New Roman" w:eastAsia="Times New Roman" w:hAnsi="Times New Roman" w:cs="Times New Roman"/>
        </w:rPr>
        <w:footnoteReference w:id="82"/>
      </w:r>
    </w:p>
    <w:p w14:paraId="5EE59746" w14:textId="11A43C40" w:rsidR="00A05188" w:rsidRPr="00A50EE7" w:rsidRDefault="00A05188" w:rsidP="00B71028">
      <w:pPr>
        <w:spacing w:line="276" w:lineRule="auto"/>
        <w:jc w:val="both"/>
        <w:rPr>
          <w:rFonts w:ascii="Times New Roman" w:eastAsia="Times New Roman" w:hAnsi="Times New Roman" w:cs="Times New Roman"/>
        </w:rPr>
      </w:pPr>
      <w:proofErr w:type="gramStart"/>
      <w:r>
        <w:rPr>
          <w:rFonts w:ascii="Times New Roman" w:eastAsia="Times New Roman" w:hAnsi="Times New Roman" w:cs="Times New Roman"/>
        </w:rPr>
        <w:t>It is clear that the</w:t>
      </w:r>
      <w:proofErr w:type="gramEnd"/>
      <w:r>
        <w:rPr>
          <w:rFonts w:ascii="Times New Roman" w:eastAsia="Times New Roman" w:hAnsi="Times New Roman" w:cs="Times New Roman"/>
        </w:rPr>
        <w:t xml:space="preserve"> “dangerous situation” theory is narrower than the managerial control theory. Managerial control on the part of the parent over at least some elements of subsidiaries’ activities is likely to arise routinely out of the centralisation of the group’s businesses. Whilst groups vary in the extent to which they centralise decision-making, a completely decentralised approach, akin to a portfolio of passive investments, is a rarity. A dangerous situation, by contrast, is not likely to arise routinely from group centralisation but only episodically in the </w:t>
      </w:r>
      <w:r>
        <w:rPr>
          <w:rFonts w:ascii="Times New Roman" w:eastAsia="Times New Roman" w:hAnsi="Times New Roman" w:cs="Times New Roman"/>
        </w:rPr>
        <w:lastRenderedPageBreak/>
        <w:t xml:space="preserve">context of </w:t>
      </w:r>
      <w:proofErr w:type="gramStart"/>
      <w:r>
        <w:rPr>
          <w:rFonts w:ascii="Times New Roman" w:eastAsia="Times New Roman" w:hAnsi="Times New Roman" w:cs="Times New Roman"/>
        </w:rPr>
        <w:t>particular business</w:t>
      </w:r>
      <w:proofErr w:type="gramEnd"/>
      <w:r>
        <w:rPr>
          <w:rFonts w:ascii="Times New Roman" w:eastAsia="Times New Roman" w:hAnsi="Times New Roman" w:cs="Times New Roman"/>
        </w:rPr>
        <w:t xml:space="preserve"> activities. Even then, “it will only be </w:t>
      </w:r>
      <w:r w:rsidRPr="00E63068">
        <w:rPr>
          <w:rFonts w:ascii="Times New Roman" w:eastAsia="Times New Roman" w:hAnsi="Times New Roman" w:cs="Times New Roman"/>
        </w:rPr>
        <w:t>in a relatively extreme case that the ‘creation of danger’ exception will operate.</w:t>
      </w:r>
      <w:r>
        <w:rPr>
          <w:rFonts w:ascii="Times New Roman" w:eastAsia="Times New Roman" w:hAnsi="Times New Roman" w:cs="Times New Roman"/>
        </w:rPr>
        <w:t>”</w:t>
      </w:r>
      <w:r>
        <w:rPr>
          <w:rStyle w:val="ab"/>
          <w:rFonts w:ascii="Times New Roman" w:eastAsia="Times New Roman" w:hAnsi="Times New Roman" w:cs="Times New Roman"/>
        </w:rPr>
        <w:footnoteReference w:id="83"/>
      </w:r>
      <w:r w:rsidR="00A50EE7">
        <w:rPr>
          <w:rFonts w:ascii="Times New Roman" w:eastAsia="Times New Roman" w:hAnsi="Times New Roman" w:cs="Times New Roman"/>
        </w:rPr>
        <w:t xml:space="preserve"> However</w:t>
      </w:r>
      <w:r>
        <w:rPr>
          <w:rFonts w:ascii="Times New Roman" w:eastAsia="Times New Roman" w:hAnsi="Times New Roman" w:cs="Times New Roman"/>
        </w:rPr>
        <w:t xml:space="preserve">, the implication of the case for companies is that they need to supervise </w:t>
      </w:r>
      <w:r w:rsidR="008F361D">
        <w:rPr>
          <w:rFonts w:ascii="Times New Roman" w:eastAsia="Times New Roman" w:hAnsi="Times New Roman" w:cs="Times New Roman"/>
        </w:rPr>
        <w:t xml:space="preserve">to some degree </w:t>
      </w:r>
      <w:r>
        <w:rPr>
          <w:rFonts w:ascii="Times New Roman" w:eastAsia="Times New Roman" w:hAnsi="Times New Roman" w:cs="Times New Roman"/>
        </w:rPr>
        <w:t>the activities, not only of subsidiaries, but also of contractors (</w:t>
      </w:r>
      <w:proofErr w:type="spellStart"/>
      <w:r>
        <w:rPr>
          <w:rFonts w:ascii="Times New Roman" w:eastAsia="Times New Roman" w:hAnsi="Times New Roman" w:cs="Times New Roman"/>
        </w:rPr>
        <w:t>Hsejar</w:t>
      </w:r>
      <w:proofErr w:type="spellEnd"/>
      <w:r>
        <w:rPr>
          <w:rFonts w:ascii="Times New Roman" w:eastAsia="Times New Roman" w:hAnsi="Times New Roman" w:cs="Times New Roman"/>
        </w:rPr>
        <w:t>) and sub-contractors (Zumar). That supervision need not involve day-to-day monitoring of contractors and might not need to go beyond the inclusion and supervision of appropriate contractual provisions. But complete inattention once a dangerous situation has been created clearly will generate a liability risk.</w:t>
      </w:r>
      <w:r w:rsidRPr="003B798C">
        <w:rPr>
          <w:rFonts w:ascii="Times New Roman" w:eastAsia="Times New Roman" w:hAnsi="Times New Roman" w:cs="Times New Roman"/>
        </w:rPr>
        <w:t xml:space="preserve"> </w:t>
      </w:r>
    </w:p>
    <w:p w14:paraId="0E365119" w14:textId="77777777" w:rsidR="008F58AA" w:rsidRPr="00DB7E53" w:rsidRDefault="008F58AA" w:rsidP="00B71028">
      <w:pPr>
        <w:spacing w:line="276" w:lineRule="auto"/>
        <w:jc w:val="both"/>
        <w:rPr>
          <w:rFonts w:ascii="Times New Roman" w:hAnsi="Times New Roman" w:cs="Times New Roman"/>
        </w:rPr>
      </w:pPr>
    </w:p>
    <w:p w14:paraId="20240B7E" w14:textId="0CEF3D83" w:rsidR="00254401" w:rsidRDefault="00254401" w:rsidP="00B71028">
      <w:pPr>
        <w:pStyle w:val="a6"/>
        <w:numPr>
          <w:ilvl w:val="0"/>
          <w:numId w:val="1"/>
        </w:numPr>
        <w:spacing w:line="276" w:lineRule="auto"/>
        <w:jc w:val="both"/>
        <w:rPr>
          <w:rFonts w:ascii="Times New Roman" w:hAnsi="Times New Roman" w:cs="Times New Roman"/>
          <w:b/>
          <w:bCs/>
        </w:rPr>
      </w:pPr>
      <w:r>
        <w:rPr>
          <w:rFonts w:ascii="Times New Roman" w:hAnsi="Times New Roman" w:cs="Times New Roman"/>
          <w:b/>
          <w:bCs/>
        </w:rPr>
        <w:t>Is there a better way forward</w:t>
      </w:r>
      <w:r w:rsidR="00826716">
        <w:rPr>
          <w:rFonts w:ascii="Times New Roman" w:hAnsi="Times New Roman" w:cs="Times New Roman"/>
          <w:b/>
          <w:bCs/>
        </w:rPr>
        <w:t>?</w:t>
      </w:r>
      <w:r w:rsidR="00E77CC8">
        <w:rPr>
          <w:rStyle w:val="ab"/>
          <w:rFonts w:ascii="Times New Roman" w:eastAsia="Times New Roman" w:hAnsi="Times New Roman" w:cs="Times New Roman"/>
        </w:rPr>
        <w:footnoteReference w:id="84"/>
      </w:r>
    </w:p>
    <w:p w14:paraId="01EC89D4" w14:textId="7D1F9406" w:rsidR="00254401" w:rsidRDefault="005B2BA5" w:rsidP="00B71028">
      <w:pPr>
        <w:spacing w:line="276" w:lineRule="auto"/>
        <w:jc w:val="both"/>
        <w:rPr>
          <w:rFonts w:ascii="Times New Roman" w:hAnsi="Times New Roman" w:cs="Times New Roman"/>
        </w:rPr>
      </w:pPr>
      <w:r>
        <w:rPr>
          <w:rFonts w:ascii="Times New Roman" w:hAnsi="Times New Roman" w:cs="Times New Roman"/>
        </w:rPr>
        <w:t>Section 3 has shown that the courts have begun to utilise the law of tort to rescue core group</w:t>
      </w:r>
      <w:r w:rsidR="00001A4B">
        <w:rPr>
          <w:rFonts w:ascii="Times New Roman" w:hAnsi="Times New Roman" w:cs="Times New Roman"/>
        </w:rPr>
        <w:t>s</w:t>
      </w:r>
      <w:r>
        <w:rPr>
          <w:rFonts w:ascii="Times New Roman" w:hAnsi="Times New Roman" w:cs="Times New Roman"/>
        </w:rPr>
        <w:t xml:space="preserve"> o</w:t>
      </w:r>
      <w:r w:rsidR="005D05BC">
        <w:rPr>
          <w:rFonts w:ascii="Times New Roman" w:hAnsi="Times New Roman" w:cs="Times New Roman"/>
        </w:rPr>
        <w:t>f</w:t>
      </w:r>
      <w:r>
        <w:rPr>
          <w:rFonts w:ascii="Times New Roman" w:hAnsi="Times New Roman" w:cs="Times New Roman"/>
        </w:rPr>
        <w:t xml:space="preserve"> non-adjusting creditors from the impact of the doctrine of separate legal personality. </w:t>
      </w:r>
      <w:r w:rsidR="00254401">
        <w:rPr>
          <w:rFonts w:ascii="Times New Roman" w:hAnsi="Times New Roman" w:cs="Times New Roman"/>
        </w:rPr>
        <w:t>Although a full development of the parent-tort and, especially, the dangerous situations theories has yet to be generated by the courts, there is no evidence that the courts wish to back-track on these developments. However, there is still a question to be answered about whether this is the optimal way forward for the courts.</w:t>
      </w:r>
      <w:r w:rsidR="00994814">
        <w:rPr>
          <w:rFonts w:ascii="Times New Roman" w:hAnsi="Times New Roman" w:cs="Times New Roman"/>
        </w:rPr>
        <w:t xml:space="preserve"> There are </w:t>
      </w:r>
      <w:r w:rsidR="00E77CC8">
        <w:rPr>
          <w:rFonts w:ascii="Times New Roman" w:hAnsi="Times New Roman" w:cs="Times New Roman"/>
        </w:rPr>
        <w:t>three</w:t>
      </w:r>
      <w:r w:rsidR="00994814">
        <w:rPr>
          <w:rFonts w:ascii="Times New Roman" w:hAnsi="Times New Roman" w:cs="Times New Roman"/>
        </w:rPr>
        <w:t xml:space="preserve"> possible alternatives: (</w:t>
      </w:r>
      <w:proofErr w:type="spellStart"/>
      <w:r w:rsidR="00994814">
        <w:rPr>
          <w:rFonts w:ascii="Times New Roman" w:hAnsi="Times New Roman" w:cs="Times New Roman"/>
        </w:rPr>
        <w:t>i</w:t>
      </w:r>
      <w:proofErr w:type="spellEnd"/>
      <w:r w:rsidR="00994814">
        <w:rPr>
          <w:rFonts w:ascii="Times New Roman" w:hAnsi="Times New Roman" w:cs="Times New Roman"/>
        </w:rPr>
        <w:t xml:space="preserve">) a revitalised piercing the veil doctrine; (ii) vicarious liability for parent companies in relation to torts committed by direct or indirect subsidiaries; and </w:t>
      </w:r>
      <w:r w:rsidR="00E77CC8">
        <w:rPr>
          <w:rFonts w:ascii="Times New Roman" w:hAnsi="Times New Roman" w:cs="Times New Roman"/>
        </w:rPr>
        <w:t>(iii) a due diligence obligation upon parent companies not confined within the limits of the parent-tort theory.</w:t>
      </w:r>
    </w:p>
    <w:p w14:paraId="1B0EEFAF" w14:textId="0013C800" w:rsidR="00E77CC8" w:rsidRDefault="00E77CC8" w:rsidP="00B71028">
      <w:pPr>
        <w:spacing w:line="276" w:lineRule="auto"/>
        <w:jc w:val="both"/>
        <w:rPr>
          <w:rFonts w:ascii="Times New Roman" w:hAnsi="Times New Roman" w:cs="Times New Roman"/>
          <w:i/>
          <w:iCs/>
        </w:rPr>
      </w:pPr>
      <w:r>
        <w:rPr>
          <w:rFonts w:ascii="Times New Roman" w:hAnsi="Times New Roman" w:cs="Times New Roman"/>
          <w:i/>
          <w:iCs/>
        </w:rPr>
        <w:t>Re-vitalised veil piercing</w:t>
      </w:r>
    </w:p>
    <w:p w14:paraId="359D708D" w14:textId="77C02D73" w:rsidR="00E77CC8" w:rsidRDefault="005B2BA5" w:rsidP="005D05BC">
      <w:pPr>
        <w:spacing w:line="276" w:lineRule="auto"/>
        <w:rPr>
          <w:rFonts w:ascii="Times New Roman" w:hAnsi="Times New Roman" w:cs="Times New Roman"/>
        </w:rPr>
      </w:pPr>
      <w:r>
        <w:rPr>
          <w:rFonts w:ascii="Times New Roman" w:hAnsi="Times New Roman" w:cs="Times New Roman"/>
        </w:rPr>
        <w:t>This is perhaps the most unlikely judicial development in the English courts</w:t>
      </w:r>
      <w:r w:rsidRPr="00442AE8">
        <w:rPr>
          <w:rFonts w:ascii="Times New Roman" w:hAnsi="Times New Roman" w:cs="Times New Roman"/>
        </w:rPr>
        <w:t>.</w:t>
      </w:r>
      <w:r w:rsidR="00442AE8" w:rsidRPr="005D05BC">
        <w:rPr>
          <w:rStyle w:val="ab"/>
          <w:rFonts w:ascii="Times New Roman" w:hAnsi="Times New Roman" w:cs="Times New Roman"/>
        </w:rPr>
        <w:footnoteReference w:id="85"/>
      </w:r>
      <w:r w:rsidR="00442AE8">
        <w:rPr>
          <w:rFonts w:ascii="Times New Roman" w:hAnsi="Times New Roman" w:cs="Times New Roman"/>
        </w:rPr>
        <w:t xml:space="preserve"> </w:t>
      </w:r>
      <w:r>
        <w:rPr>
          <w:rFonts w:ascii="Times New Roman" w:hAnsi="Times New Roman" w:cs="Times New Roman"/>
        </w:rPr>
        <w:t xml:space="preserve"> In </w:t>
      </w:r>
      <w:proofErr w:type="spellStart"/>
      <w:r>
        <w:rPr>
          <w:rFonts w:ascii="Times New Roman" w:hAnsi="Times New Roman" w:cs="Times New Roman"/>
          <w:i/>
          <w:iCs/>
        </w:rPr>
        <w:t>Petrodel</w:t>
      </w:r>
      <w:proofErr w:type="spellEnd"/>
      <w:r>
        <w:rPr>
          <w:rFonts w:ascii="Times New Roman" w:hAnsi="Times New Roman" w:cs="Times New Roman"/>
          <w:i/>
          <w:iCs/>
        </w:rPr>
        <w:t xml:space="preserve"> Resources Ltd v Prest</w:t>
      </w:r>
      <w:r w:rsidR="00BE7E29">
        <w:rPr>
          <w:rFonts w:ascii="Times New Roman" w:hAnsi="Times New Roman" w:cs="Times New Roman"/>
          <w:i/>
          <w:iCs/>
        </w:rPr>
        <w:t xml:space="preserve"> </w:t>
      </w:r>
      <w:r>
        <w:rPr>
          <w:rFonts w:ascii="Times New Roman" w:hAnsi="Times New Roman" w:cs="Times New Roman"/>
        </w:rPr>
        <w:t xml:space="preserve">the Supreme Court came close to declaring that the doctrine </w:t>
      </w:r>
      <w:r w:rsidR="00645CE0">
        <w:rPr>
          <w:rFonts w:ascii="Times New Roman" w:hAnsi="Times New Roman" w:cs="Times New Roman"/>
        </w:rPr>
        <w:t xml:space="preserve">of veil piercing </w:t>
      </w:r>
      <w:r>
        <w:rPr>
          <w:rFonts w:ascii="Times New Roman" w:hAnsi="Times New Roman" w:cs="Times New Roman"/>
        </w:rPr>
        <w:t>did not exist</w:t>
      </w:r>
      <w:r w:rsidR="005D05BC">
        <w:rPr>
          <w:rFonts w:ascii="Times New Roman" w:hAnsi="Times New Roman" w:cs="Times New Roman"/>
        </w:rPr>
        <w:t xml:space="preserve"> in English law</w:t>
      </w:r>
      <w:r w:rsidR="007502F4">
        <w:rPr>
          <w:rFonts w:ascii="Times New Roman" w:hAnsi="Times New Roman" w:cs="Times New Roman"/>
        </w:rPr>
        <w:t xml:space="preserve">. The Justices did not delete it in the end, seemingly on the basis that the existence of the doctrine had been accepted for a long time (though rarely applied and even more rarely applied when it was needed) and that it might </w:t>
      </w:r>
      <w:r w:rsidR="003E7459">
        <w:rPr>
          <w:rFonts w:ascii="Times New Roman" w:hAnsi="Times New Roman" w:cs="Times New Roman"/>
        </w:rPr>
        <w:t xml:space="preserve">conceivably </w:t>
      </w:r>
      <w:r w:rsidR="007502F4">
        <w:rPr>
          <w:rFonts w:ascii="Times New Roman" w:hAnsi="Times New Roman" w:cs="Times New Roman"/>
        </w:rPr>
        <w:t xml:space="preserve">be </w:t>
      </w:r>
      <w:r w:rsidR="003E7459">
        <w:rPr>
          <w:rFonts w:ascii="Times New Roman" w:hAnsi="Times New Roman" w:cs="Times New Roman"/>
        </w:rPr>
        <w:t>of use</w:t>
      </w:r>
      <w:r w:rsidR="007502F4">
        <w:rPr>
          <w:rFonts w:ascii="Times New Roman" w:hAnsi="Times New Roman" w:cs="Times New Roman"/>
        </w:rPr>
        <w:t xml:space="preserve"> in the future to deal with some unspecified legal contingency where no other doctrine was available to solve the problem. The court’s fundamental objection to the “doctrine” was its incoherence and lack of predictive power. For Lord Walker, a leading corporate lawyer, piercing the corporate veil “is not a doctrine at all, in the sense of a coherent principle or rule of law. It is simply a label . . . to describe the disparate occasions on which some rule of law produces apparent exceptions to the principle of separate juristic personality of a body corporate. . .”</w:t>
      </w:r>
      <w:r w:rsidR="007502F4">
        <w:rPr>
          <w:rStyle w:val="ab"/>
          <w:rFonts w:ascii="Times New Roman" w:hAnsi="Times New Roman" w:cs="Times New Roman"/>
        </w:rPr>
        <w:footnoteReference w:id="86"/>
      </w:r>
      <w:r w:rsidR="00645CE0">
        <w:rPr>
          <w:rFonts w:ascii="Times New Roman" w:hAnsi="Times New Roman" w:cs="Times New Roman"/>
        </w:rPr>
        <w:t xml:space="preserve"> Lord Neuberger</w:t>
      </w:r>
      <w:r w:rsidR="003E7459">
        <w:rPr>
          <w:rStyle w:val="ab"/>
          <w:rFonts w:ascii="Times New Roman" w:hAnsi="Times New Roman" w:cs="Times New Roman"/>
        </w:rPr>
        <w:footnoteReference w:id="87"/>
      </w:r>
      <w:r w:rsidR="00645CE0">
        <w:rPr>
          <w:rFonts w:ascii="Times New Roman" w:hAnsi="Times New Roman" w:cs="Times New Roman"/>
        </w:rPr>
        <w:t xml:space="preserve"> quoted with approval the dictum of the New Zealand Court of Appeal that lifting the veil “is not a principle. It describes the </w:t>
      </w:r>
      <w:proofErr w:type="gramStart"/>
      <w:r w:rsidR="00645CE0">
        <w:rPr>
          <w:rFonts w:ascii="Times New Roman" w:hAnsi="Times New Roman" w:cs="Times New Roman"/>
        </w:rPr>
        <w:t>process, but</w:t>
      </w:r>
      <w:proofErr w:type="gramEnd"/>
      <w:r w:rsidR="00645CE0">
        <w:rPr>
          <w:rFonts w:ascii="Times New Roman" w:hAnsi="Times New Roman" w:cs="Times New Roman"/>
        </w:rPr>
        <w:t xml:space="preserve"> provides no </w:t>
      </w:r>
      <w:r w:rsidR="00645CE0">
        <w:rPr>
          <w:rFonts w:ascii="Times New Roman" w:hAnsi="Times New Roman" w:cs="Times New Roman"/>
        </w:rPr>
        <w:lastRenderedPageBreak/>
        <w:t>guidance as to when it can be used”</w:t>
      </w:r>
      <w:r w:rsidR="00C2610D">
        <w:rPr>
          <w:rFonts w:ascii="Times New Roman" w:hAnsi="Times New Roman" w:cs="Times New Roman"/>
        </w:rPr>
        <w:t>;</w:t>
      </w:r>
      <w:r w:rsidR="00645CE0">
        <w:rPr>
          <w:rStyle w:val="ab"/>
          <w:rFonts w:ascii="Times New Roman" w:hAnsi="Times New Roman" w:cs="Times New Roman"/>
        </w:rPr>
        <w:footnoteReference w:id="88"/>
      </w:r>
      <w:r w:rsidR="00C2610D">
        <w:rPr>
          <w:rFonts w:ascii="Times New Roman" w:hAnsi="Times New Roman" w:cs="Times New Roman"/>
        </w:rPr>
        <w:t xml:space="preserve"> </w:t>
      </w:r>
      <w:proofErr w:type="gramStart"/>
      <w:r w:rsidR="00645CE0">
        <w:rPr>
          <w:rFonts w:ascii="Times New Roman" w:hAnsi="Times New Roman" w:cs="Times New Roman"/>
        </w:rPr>
        <w:t>and also</w:t>
      </w:r>
      <w:proofErr w:type="gramEnd"/>
      <w:r w:rsidR="00645CE0">
        <w:rPr>
          <w:rFonts w:ascii="Times New Roman" w:hAnsi="Times New Roman" w:cs="Times New Roman"/>
        </w:rPr>
        <w:t xml:space="preserve"> the academic writing of Easterbrook and Fischel </w:t>
      </w:r>
      <w:r w:rsidR="008B353E">
        <w:rPr>
          <w:rFonts w:ascii="Times New Roman" w:hAnsi="Times New Roman" w:cs="Times New Roman"/>
        </w:rPr>
        <w:t xml:space="preserve">(and others) </w:t>
      </w:r>
      <w:r w:rsidR="00645CE0">
        <w:rPr>
          <w:rFonts w:ascii="Times New Roman" w:hAnsi="Times New Roman" w:cs="Times New Roman"/>
        </w:rPr>
        <w:t>that lik</w:t>
      </w:r>
      <w:r w:rsidR="003E7459">
        <w:rPr>
          <w:rFonts w:ascii="Times New Roman" w:hAnsi="Times New Roman" w:cs="Times New Roman"/>
        </w:rPr>
        <w:t>e</w:t>
      </w:r>
      <w:r w:rsidR="00826716">
        <w:rPr>
          <w:rFonts w:ascii="Times New Roman" w:hAnsi="Times New Roman" w:cs="Times New Roman"/>
        </w:rPr>
        <w:t>ne</w:t>
      </w:r>
      <w:r w:rsidR="003E7459">
        <w:rPr>
          <w:rFonts w:ascii="Times New Roman" w:hAnsi="Times New Roman" w:cs="Times New Roman"/>
        </w:rPr>
        <w:t>d</w:t>
      </w:r>
      <w:r w:rsidR="00645CE0">
        <w:rPr>
          <w:rFonts w:ascii="Times New Roman" w:hAnsi="Times New Roman" w:cs="Times New Roman"/>
        </w:rPr>
        <w:t xml:space="preserve"> veil piercing to lightening: “it is rare, severe and unprincipled.”</w:t>
      </w:r>
      <w:r w:rsidR="00645CE0">
        <w:rPr>
          <w:rStyle w:val="ab"/>
          <w:rFonts w:ascii="Times New Roman" w:hAnsi="Times New Roman" w:cs="Times New Roman"/>
        </w:rPr>
        <w:footnoteReference w:id="89"/>
      </w:r>
      <w:r w:rsidR="00645CE0">
        <w:rPr>
          <w:rFonts w:ascii="Times New Roman" w:hAnsi="Times New Roman" w:cs="Times New Roman"/>
        </w:rPr>
        <w:t xml:space="preserve"> </w:t>
      </w:r>
    </w:p>
    <w:p w14:paraId="608F9040" w14:textId="27BCE2EA" w:rsidR="003E7459" w:rsidRDefault="003E7459" w:rsidP="00B71028">
      <w:pPr>
        <w:spacing w:line="276" w:lineRule="auto"/>
        <w:jc w:val="both"/>
        <w:rPr>
          <w:rFonts w:ascii="Times New Roman" w:hAnsi="Times New Roman" w:cs="Times New Roman"/>
        </w:rPr>
      </w:pPr>
      <w:r>
        <w:rPr>
          <w:rFonts w:ascii="Times New Roman" w:hAnsi="Times New Roman" w:cs="Times New Roman"/>
        </w:rPr>
        <w:t xml:space="preserve">It is not easy to disagree with these analyses of the “doctrine”. </w:t>
      </w:r>
      <w:r w:rsidR="00826716">
        <w:rPr>
          <w:rFonts w:ascii="Times New Roman" w:hAnsi="Times New Roman" w:cs="Times New Roman"/>
        </w:rPr>
        <w:t>However, Professor Thompson has recently suggested a bold way out the current “mishmash”.</w:t>
      </w:r>
      <w:r w:rsidR="00826716">
        <w:rPr>
          <w:rStyle w:val="ab"/>
          <w:rFonts w:ascii="Times New Roman" w:hAnsi="Times New Roman" w:cs="Times New Roman"/>
        </w:rPr>
        <w:footnoteReference w:id="90"/>
      </w:r>
      <w:r w:rsidR="00826716">
        <w:rPr>
          <w:rFonts w:ascii="Times New Roman" w:hAnsi="Times New Roman" w:cs="Times New Roman"/>
        </w:rPr>
        <w:t xml:space="preserve"> His proposal is that courts “</w:t>
      </w:r>
      <w:r w:rsidR="00826716" w:rsidRPr="00826716">
        <w:rPr>
          <w:rFonts w:ascii="Times New Roman" w:hAnsi="Times New Roman" w:cs="Times New Roman"/>
        </w:rPr>
        <w:t>focus on allocation of risk and draw on that concept as developed in modern law and economics. Courts best address this piercing question by focusing on the relationship between a corporation and a counterparty, their relative capacity to bear risk efficiently, and how corporate codes give insiders powers to unilaterally shift risks i.e. from the corporation to a counterparty dealing with a corporation who lacked any opportunity to negotiate about the risk being put on it.</w:t>
      </w:r>
      <w:r w:rsidR="00826716">
        <w:rPr>
          <w:rFonts w:ascii="Times New Roman" w:hAnsi="Times New Roman" w:cs="Times New Roman"/>
        </w:rPr>
        <w:t>”</w:t>
      </w:r>
      <w:r w:rsidR="00DC5902">
        <w:rPr>
          <w:rStyle w:val="ab"/>
          <w:rFonts w:ascii="Times New Roman" w:hAnsi="Times New Roman" w:cs="Times New Roman"/>
        </w:rPr>
        <w:footnoteReference w:id="91"/>
      </w:r>
      <w:r w:rsidR="008B353E">
        <w:rPr>
          <w:rFonts w:ascii="Times New Roman" w:hAnsi="Times New Roman" w:cs="Times New Roman"/>
        </w:rPr>
        <w:t xml:space="preserve"> </w:t>
      </w:r>
      <w:r w:rsidR="005C5A81">
        <w:rPr>
          <w:rFonts w:ascii="Times New Roman" w:hAnsi="Times New Roman" w:cs="Times New Roman"/>
        </w:rPr>
        <w:t>T</w:t>
      </w:r>
      <w:r w:rsidR="00001A4B">
        <w:rPr>
          <w:rFonts w:ascii="Times New Roman" w:hAnsi="Times New Roman" w:cs="Times New Roman"/>
        </w:rPr>
        <w:t>hree</w:t>
      </w:r>
      <w:r w:rsidR="005C5A81">
        <w:rPr>
          <w:rFonts w:ascii="Times New Roman" w:hAnsi="Times New Roman" w:cs="Times New Roman"/>
        </w:rPr>
        <w:t xml:space="preserve"> comments may be made about this proposal. First, it would take a strong-minded set of courts to ignore the weight of precedent (unhelpful though it is) that has built up around the doctrine as traditionally understood </w:t>
      </w:r>
      <w:r w:rsidR="00BE7E29">
        <w:rPr>
          <w:rFonts w:ascii="Times New Roman" w:hAnsi="Times New Roman" w:cs="Times New Roman"/>
        </w:rPr>
        <w:t xml:space="preserve">in English law </w:t>
      </w:r>
      <w:r w:rsidR="005C5A81">
        <w:rPr>
          <w:rFonts w:ascii="Times New Roman" w:hAnsi="Times New Roman" w:cs="Times New Roman"/>
        </w:rPr>
        <w:t xml:space="preserve">and to strike out in a new direction. And it would take a sophisticated set of courts to apply law and economics precepts successfully. </w:t>
      </w:r>
      <w:r w:rsidR="00001A4B">
        <w:rPr>
          <w:rFonts w:ascii="Times New Roman" w:hAnsi="Times New Roman" w:cs="Times New Roman"/>
        </w:rPr>
        <w:t xml:space="preserve">It is doubtful whether the English courts would be willing to undertake these tasks. </w:t>
      </w:r>
      <w:r w:rsidR="005C5A81">
        <w:rPr>
          <w:rFonts w:ascii="Times New Roman" w:hAnsi="Times New Roman" w:cs="Times New Roman"/>
        </w:rPr>
        <w:t xml:space="preserve">Second, as a legislative prescription, however, Professor Thompson’s proposal </w:t>
      </w:r>
      <w:r w:rsidR="00BE7E29">
        <w:rPr>
          <w:rFonts w:ascii="Times New Roman" w:hAnsi="Times New Roman" w:cs="Times New Roman"/>
        </w:rPr>
        <w:t>has a lot in its favour</w:t>
      </w:r>
      <w:r w:rsidR="005C5A81">
        <w:rPr>
          <w:rFonts w:ascii="Times New Roman" w:hAnsi="Times New Roman" w:cs="Times New Roman"/>
        </w:rPr>
        <w:t>. Indeed, there is an argument to be made that the statutory provisions discussed in Part 1 of this paper</w:t>
      </w:r>
      <w:r w:rsidR="00001A4B">
        <w:rPr>
          <w:rFonts w:ascii="Times New Roman" w:hAnsi="Times New Roman" w:cs="Times New Roman"/>
        </w:rPr>
        <w:t>,</w:t>
      </w:r>
      <w:r w:rsidR="005C5A81">
        <w:rPr>
          <w:rFonts w:ascii="Times New Roman" w:hAnsi="Times New Roman" w:cs="Times New Roman"/>
        </w:rPr>
        <w:t xml:space="preserve"> which qualify limited liability</w:t>
      </w:r>
      <w:r w:rsidR="00001A4B">
        <w:rPr>
          <w:rFonts w:ascii="Times New Roman" w:hAnsi="Times New Roman" w:cs="Times New Roman"/>
        </w:rPr>
        <w:t>,</w:t>
      </w:r>
      <w:r w:rsidR="005C5A81">
        <w:rPr>
          <w:rFonts w:ascii="Times New Roman" w:hAnsi="Times New Roman" w:cs="Times New Roman"/>
        </w:rPr>
        <w:t xml:space="preserve"> can be seen as an implementation of his </w:t>
      </w:r>
      <w:r w:rsidR="00001A4B">
        <w:rPr>
          <w:rFonts w:ascii="Times New Roman" w:hAnsi="Times New Roman" w:cs="Times New Roman"/>
        </w:rPr>
        <w:t xml:space="preserve">underlying </w:t>
      </w:r>
      <w:r w:rsidR="005C5A81">
        <w:rPr>
          <w:rFonts w:ascii="Times New Roman" w:hAnsi="Times New Roman" w:cs="Times New Roman"/>
        </w:rPr>
        <w:t xml:space="preserve">idea. </w:t>
      </w:r>
      <w:r w:rsidR="00DC5902">
        <w:rPr>
          <w:rFonts w:ascii="Times New Roman" w:hAnsi="Times New Roman" w:cs="Times New Roman"/>
        </w:rPr>
        <w:t xml:space="preserve">Third, if risk allocation is to be the way forward, this might counsel if favour of the use of tort law, </w:t>
      </w:r>
      <w:proofErr w:type="gramStart"/>
      <w:r w:rsidR="00DC5902">
        <w:rPr>
          <w:rFonts w:ascii="Times New Roman" w:hAnsi="Times New Roman" w:cs="Times New Roman"/>
        </w:rPr>
        <w:t>in particular</w:t>
      </w:r>
      <w:proofErr w:type="gramEnd"/>
      <w:r w:rsidR="00DC5902">
        <w:rPr>
          <w:rFonts w:ascii="Times New Roman" w:hAnsi="Times New Roman" w:cs="Times New Roman"/>
        </w:rPr>
        <w:t xml:space="preserve"> the law of negligence, to provide the</w:t>
      </w:r>
      <w:r w:rsidR="004013E6">
        <w:rPr>
          <w:rFonts w:ascii="Times New Roman" w:hAnsi="Times New Roman" w:cs="Times New Roman"/>
        </w:rPr>
        <w:t xml:space="preserve"> desired</w:t>
      </w:r>
      <w:r w:rsidR="00DC5902">
        <w:rPr>
          <w:rFonts w:ascii="Times New Roman" w:hAnsi="Times New Roman" w:cs="Times New Roman"/>
        </w:rPr>
        <w:t xml:space="preserve"> review of risk shifting within corporate groups. </w:t>
      </w:r>
      <w:r w:rsidR="004013E6">
        <w:rPr>
          <w:rFonts w:ascii="Times New Roman" w:hAnsi="Times New Roman" w:cs="Times New Roman"/>
        </w:rPr>
        <w:t xml:space="preserve">The concept of a duty of care in the law of negligence has proved capable of responding to </w:t>
      </w:r>
      <w:r w:rsidR="00001A4B">
        <w:rPr>
          <w:rFonts w:ascii="Times New Roman" w:hAnsi="Times New Roman" w:cs="Times New Roman"/>
        </w:rPr>
        <w:t xml:space="preserve">and calibrating the law’s response to </w:t>
      </w:r>
      <w:r w:rsidR="004013E6">
        <w:rPr>
          <w:rFonts w:ascii="Times New Roman" w:hAnsi="Times New Roman" w:cs="Times New Roman"/>
        </w:rPr>
        <w:t>the risks generated in modern societies (though not necessarily at the speed and to the extent favoured by some) without the courts having explicitly to engage in a search for the lowest cost avoider of harm. This analysis s</w:t>
      </w:r>
      <w:r w:rsidR="00700BA7">
        <w:rPr>
          <w:rFonts w:ascii="Times New Roman" w:hAnsi="Times New Roman" w:cs="Times New Roman"/>
        </w:rPr>
        <w:t xml:space="preserve">uggests that the courts have started in the right direction with the parent-tort theory </w:t>
      </w:r>
      <w:r w:rsidR="00BE7E29">
        <w:rPr>
          <w:rFonts w:ascii="Times New Roman" w:hAnsi="Times New Roman" w:cs="Times New Roman"/>
        </w:rPr>
        <w:t>and</w:t>
      </w:r>
      <w:r w:rsidR="00700BA7">
        <w:rPr>
          <w:rFonts w:ascii="Times New Roman" w:hAnsi="Times New Roman" w:cs="Times New Roman"/>
        </w:rPr>
        <w:t xml:space="preserve"> should </w:t>
      </w:r>
      <w:r w:rsidR="00BE7E29">
        <w:rPr>
          <w:rFonts w:ascii="Times New Roman" w:hAnsi="Times New Roman" w:cs="Times New Roman"/>
        </w:rPr>
        <w:t xml:space="preserve">continue to </w:t>
      </w:r>
      <w:r w:rsidR="00700BA7">
        <w:rPr>
          <w:rFonts w:ascii="Times New Roman" w:hAnsi="Times New Roman" w:cs="Times New Roman"/>
        </w:rPr>
        <w:t>develop it.</w:t>
      </w:r>
    </w:p>
    <w:p w14:paraId="710E306E" w14:textId="2F8575D7" w:rsidR="00700BA7" w:rsidRDefault="00496EBD" w:rsidP="00B71028">
      <w:pPr>
        <w:spacing w:line="276" w:lineRule="auto"/>
        <w:jc w:val="both"/>
        <w:rPr>
          <w:rFonts w:ascii="Times New Roman" w:hAnsi="Times New Roman" w:cs="Times New Roman"/>
          <w:i/>
          <w:iCs/>
        </w:rPr>
      </w:pPr>
      <w:r>
        <w:rPr>
          <w:rFonts w:ascii="Times New Roman" w:hAnsi="Times New Roman" w:cs="Times New Roman"/>
          <w:i/>
          <w:iCs/>
        </w:rPr>
        <w:t>Vicarious liability</w:t>
      </w:r>
    </w:p>
    <w:p w14:paraId="73C4FF1C" w14:textId="143A00FE" w:rsidR="008B353E" w:rsidRDefault="008B353E" w:rsidP="00B71028">
      <w:pPr>
        <w:spacing w:line="276" w:lineRule="auto"/>
        <w:jc w:val="both"/>
        <w:rPr>
          <w:rFonts w:ascii="Times New Roman" w:hAnsi="Times New Roman" w:cs="Times New Roman"/>
        </w:rPr>
      </w:pPr>
      <w:r>
        <w:rPr>
          <w:rFonts w:ascii="Times New Roman" w:hAnsi="Times New Roman" w:cs="Times New Roman"/>
        </w:rPr>
        <w:t xml:space="preserve">Making the parent vicariously liable for </w:t>
      </w:r>
      <w:r w:rsidR="00384A6C">
        <w:rPr>
          <w:rFonts w:ascii="Times New Roman" w:hAnsi="Times New Roman" w:cs="Times New Roman"/>
        </w:rPr>
        <w:t>obligation</w:t>
      </w:r>
      <w:r w:rsidR="00B22186">
        <w:rPr>
          <w:rFonts w:ascii="Times New Roman" w:hAnsi="Times New Roman" w:cs="Times New Roman"/>
        </w:rPr>
        <w:t>s</w:t>
      </w:r>
      <w:r>
        <w:rPr>
          <w:rFonts w:ascii="Times New Roman" w:hAnsi="Times New Roman" w:cs="Times New Roman"/>
        </w:rPr>
        <w:t xml:space="preserve"> of its subsidiaries has long been a proposal of reformers in this area</w:t>
      </w:r>
      <w:r w:rsidR="00384A6C">
        <w:rPr>
          <w:rFonts w:ascii="Times New Roman" w:hAnsi="Times New Roman" w:cs="Times New Roman"/>
        </w:rPr>
        <w:t xml:space="preserve">, even though English law to date has not imposed vicariously liability </w:t>
      </w:r>
      <w:r w:rsidR="00384A6C">
        <w:rPr>
          <w:rFonts w:ascii="Times New Roman" w:hAnsi="Times New Roman" w:cs="Times New Roman"/>
        </w:rPr>
        <w:lastRenderedPageBreak/>
        <w:t>in relation to the actions of a non-natural person</w:t>
      </w:r>
      <w:r>
        <w:rPr>
          <w:rFonts w:ascii="Times New Roman" w:hAnsi="Times New Roman" w:cs="Times New Roman"/>
        </w:rPr>
        <w:t>.</w:t>
      </w:r>
      <w:r w:rsidR="000E4B5D">
        <w:rPr>
          <w:rStyle w:val="ab"/>
          <w:rFonts w:ascii="Times New Roman" w:hAnsi="Times New Roman" w:cs="Times New Roman"/>
        </w:rPr>
        <w:footnoteReference w:id="92"/>
      </w:r>
      <w:r>
        <w:rPr>
          <w:rFonts w:ascii="Times New Roman" w:hAnsi="Times New Roman" w:cs="Times New Roman"/>
        </w:rPr>
        <w:t xml:space="preserve"> Two recent </w:t>
      </w:r>
      <w:r w:rsidR="000155CE">
        <w:rPr>
          <w:rFonts w:ascii="Times New Roman" w:hAnsi="Times New Roman" w:cs="Times New Roman"/>
        </w:rPr>
        <w:t>proposals</w:t>
      </w:r>
      <w:r w:rsidR="00001A4B">
        <w:rPr>
          <w:rStyle w:val="ab"/>
          <w:rFonts w:ascii="Times New Roman" w:hAnsi="Times New Roman" w:cs="Times New Roman"/>
        </w:rPr>
        <w:footnoteReference w:id="93"/>
      </w:r>
      <w:r w:rsidR="000155CE">
        <w:rPr>
          <w:rFonts w:ascii="Times New Roman" w:hAnsi="Times New Roman" w:cs="Times New Roman"/>
        </w:rPr>
        <w:t xml:space="preserve"> come</w:t>
      </w:r>
      <w:r>
        <w:rPr>
          <w:rFonts w:ascii="Times New Roman" w:hAnsi="Times New Roman" w:cs="Times New Roman"/>
        </w:rPr>
        <w:t xml:space="preserve"> from </w:t>
      </w:r>
      <w:r w:rsidR="00D843C9">
        <w:rPr>
          <w:rFonts w:ascii="Times New Roman" w:hAnsi="Times New Roman" w:cs="Times New Roman"/>
        </w:rPr>
        <w:t>Professors Morgan and Koenig. Professor Morgan’s paper is explicitly confined to liability for torts committed by subsidiaries</w:t>
      </w:r>
      <w:r w:rsidR="00D843C9">
        <w:rPr>
          <w:rStyle w:val="ab"/>
          <w:rFonts w:ascii="Times New Roman" w:hAnsi="Times New Roman" w:cs="Times New Roman"/>
        </w:rPr>
        <w:footnoteReference w:id="94"/>
      </w:r>
      <w:r w:rsidR="00D843C9">
        <w:rPr>
          <w:rFonts w:ascii="Times New Roman" w:hAnsi="Times New Roman" w:cs="Times New Roman"/>
        </w:rPr>
        <w:t xml:space="preserve"> and Professor Koenig is probably excluding </w:t>
      </w:r>
      <w:r w:rsidR="00CD2611">
        <w:rPr>
          <w:rFonts w:ascii="Times New Roman" w:hAnsi="Times New Roman" w:cs="Times New Roman"/>
        </w:rPr>
        <w:t>breaches of contract from his discussion.</w:t>
      </w:r>
      <w:r w:rsidR="00CD2611">
        <w:rPr>
          <w:rStyle w:val="ab"/>
          <w:rFonts w:ascii="Times New Roman" w:hAnsi="Times New Roman" w:cs="Times New Roman"/>
        </w:rPr>
        <w:footnoteReference w:id="95"/>
      </w:r>
      <w:r w:rsidR="00384A6C">
        <w:rPr>
          <w:rFonts w:ascii="Times New Roman" w:hAnsi="Times New Roman" w:cs="Times New Roman"/>
        </w:rPr>
        <w:t xml:space="preserve"> </w:t>
      </w:r>
      <w:r w:rsidR="00B22186">
        <w:rPr>
          <w:rFonts w:ascii="Times New Roman" w:hAnsi="Times New Roman" w:cs="Times New Roman"/>
        </w:rPr>
        <w:t>Both are in favour of using vicarious liability in the group context. Professor Morgan states: “</w:t>
      </w:r>
      <w:r w:rsidR="00B22186" w:rsidRPr="00B22186">
        <w:rPr>
          <w:rFonts w:ascii="Times New Roman" w:hAnsi="Times New Roman" w:cs="Times New Roman"/>
        </w:rPr>
        <w:t>Vicarious liability, however, does respect the separate identity and limited liability of each of the companies.</w:t>
      </w:r>
      <w:r w:rsidR="00B22186">
        <w:rPr>
          <w:rFonts w:ascii="Times New Roman" w:hAnsi="Times New Roman" w:cs="Times New Roman"/>
        </w:rPr>
        <w:t>”</w:t>
      </w:r>
      <w:r w:rsidR="00B22186">
        <w:rPr>
          <w:rStyle w:val="ab"/>
          <w:rFonts w:ascii="Times New Roman" w:hAnsi="Times New Roman" w:cs="Times New Roman"/>
        </w:rPr>
        <w:footnoteReference w:id="96"/>
      </w:r>
      <w:r w:rsidR="00B22186">
        <w:rPr>
          <w:rFonts w:ascii="Times New Roman" w:hAnsi="Times New Roman" w:cs="Times New Roman"/>
        </w:rPr>
        <w:t xml:space="preserve"> As far as separate legal personality is concerned, this statement is undoubtedly correct. In fact, vicarious liability requires the two entities involved to be legally separate. However, it is incorrect in respect of limited liability. Vicarious liability extends the liability of the subsidiary to the parent, thus breaking through the limited liability of the parent shareholder.</w:t>
      </w:r>
      <w:r w:rsidR="006E1260">
        <w:rPr>
          <w:rStyle w:val="ab"/>
          <w:rFonts w:ascii="Times New Roman" w:hAnsi="Times New Roman" w:cs="Times New Roman"/>
        </w:rPr>
        <w:footnoteReference w:id="97"/>
      </w:r>
      <w:r w:rsidR="00B22186">
        <w:rPr>
          <w:rFonts w:ascii="Times New Roman" w:hAnsi="Times New Roman" w:cs="Times New Roman"/>
        </w:rPr>
        <w:t xml:space="preserve"> </w:t>
      </w:r>
      <w:r w:rsidR="007D26C2">
        <w:rPr>
          <w:rFonts w:ascii="Times New Roman" w:hAnsi="Times New Roman" w:cs="Times New Roman"/>
        </w:rPr>
        <w:t xml:space="preserve">It breaches the principle that, ordinarily, a person is not responsible for another’s wrongdoing. </w:t>
      </w:r>
    </w:p>
    <w:p w14:paraId="7EA19BE8" w14:textId="77777777" w:rsidR="00402AC1" w:rsidRDefault="007D26C2" w:rsidP="00B71028">
      <w:pPr>
        <w:spacing w:line="276" w:lineRule="auto"/>
        <w:jc w:val="both"/>
        <w:rPr>
          <w:rFonts w:ascii="Times New Roman" w:hAnsi="Times New Roman" w:cs="Times New Roman"/>
        </w:rPr>
      </w:pPr>
      <w:r>
        <w:rPr>
          <w:rFonts w:ascii="Times New Roman" w:hAnsi="Times New Roman" w:cs="Times New Roman"/>
        </w:rPr>
        <w:t>If the argument is that the parent-subsidiary relationship generates vicarious liability for the parent, in the same way as an employer-employee relationship does, the parent would be liable routinely for the torts of the subsidiary</w:t>
      </w:r>
      <w:r w:rsidR="009B6856">
        <w:rPr>
          <w:rFonts w:ascii="Times New Roman" w:hAnsi="Times New Roman" w:cs="Times New Roman"/>
        </w:rPr>
        <w:t>, at least where the subsidiary is wholly owned</w:t>
      </w:r>
      <w:r>
        <w:rPr>
          <w:rFonts w:ascii="Times New Roman" w:hAnsi="Times New Roman" w:cs="Times New Roman"/>
        </w:rPr>
        <w:t xml:space="preserve">. </w:t>
      </w:r>
      <w:r w:rsidR="00D71D2E">
        <w:rPr>
          <w:rFonts w:ascii="Times New Roman" w:hAnsi="Times New Roman" w:cs="Times New Roman"/>
        </w:rPr>
        <w:t xml:space="preserve">This may have the positive results that the parent undertakes greater monitoring of the activities of its subsidiaries </w:t>
      </w:r>
      <w:proofErr w:type="gramStart"/>
      <w:r w:rsidR="00D71D2E">
        <w:rPr>
          <w:rFonts w:ascii="Times New Roman" w:hAnsi="Times New Roman" w:cs="Times New Roman"/>
        </w:rPr>
        <w:t>so as to</w:t>
      </w:r>
      <w:proofErr w:type="gramEnd"/>
      <w:r w:rsidR="00D71D2E">
        <w:rPr>
          <w:rFonts w:ascii="Times New Roman" w:hAnsi="Times New Roman" w:cs="Times New Roman"/>
        </w:rPr>
        <w:t xml:space="preserve"> reduce their riskiness and that </w:t>
      </w:r>
      <w:r w:rsidR="00B928F2">
        <w:rPr>
          <w:rFonts w:ascii="Times New Roman" w:hAnsi="Times New Roman" w:cs="Times New Roman"/>
        </w:rPr>
        <w:t xml:space="preserve">the </w:t>
      </w:r>
      <w:r w:rsidR="00D71D2E">
        <w:rPr>
          <w:rFonts w:ascii="Times New Roman" w:hAnsi="Times New Roman" w:cs="Times New Roman"/>
        </w:rPr>
        <w:t>establishment of corporate structures is discourage</w:t>
      </w:r>
      <w:r w:rsidR="00D23300">
        <w:rPr>
          <w:rFonts w:ascii="Times New Roman" w:hAnsi="Times New Roman" w:cs="Times New Roman"/>
        </w:rPr>
        <w:t>d</w:t>
      </w:r>
      <w:r w:rsidR="00D71D2E">
        <w:rPr>
          <w:rFonts w:ascii="Times New Roman" w:hAnsi="Times New Roman" w:cs="Times New Roman"/>
        </w:rPr>
        <w:t xml:space="preserve"> whose </w:t>
      </w:r>
      <w:r w:rsidR="00D23300">
        <w:rPr>
          <w:rFonts w:ascii="Times New Roman" w:hAnsi="Times New Roman" w:cs="Times New Roman"/>
        </w:rPr>
        <w:t xml:space="preserve">principal </w:t>
      </w:r>
      <w:r w:rsidR="00D71D2E">
        <w:rPr>
          <w:rFonts w:ascii="Times New Roman" w:hAnsi="Times New Roman" w:cs="Times New Roman"/>
        </w:rPr>
        <w:t xml:space="preserve">object is to protect companies outside the operating subsidiary from liability for its unlawful conduct. However, there may be cases, perhaps not </w:t>
      </w:r>
      <w:r w:rsidR="00D23300">
        <w:rPr>
          <w:rFonts w:ascii="Times New Roman" w:hAnsi="Times New Roman" w:cs="Times New Roman"/>
        </w:rPr>
        <w:t>many</w:t>
      </w:r>
      <w:r w:rsidR="00D71D2E">
        <w:rPr>
          <w:rFonts w:ascii="Times New Roman" w:hAnsi="Times New Roman" w:cs="Times New Roman"/>
        </w:rPr>
        <w:t>, when it enhances social welfare to permit the group to externalise at least some of risks of an innovative activity onto third parties, including society at large.</w:t>
      </w:r>
      <w:r w:rsidR="002358A6">
        <w:rPr>
          <w:rStyle w:val="ab"/>
          <w:rFonts w:ascii="Times New Roman" w:hAnsi="Times New Roman" w:cs="Times New Roman"/>
        </w:rPr>
        <w:footnoteReference w:id="98"/>
      </w:r>
      <w:r w:rsidR="00D71D2E">
        <w:rPr>
          <w:rFonts w:ascii="Times New Roman" w:hAnsi="Times New Roman" w:cs="Times New Roman"/>
        </w:rPr>
        <w:t xml:space="preserve"> This will be the case where the positive externalities of preserving limited liability</w:t>
      </w:r>
      <w:r w:rsidR="009D42CE">
        <w:rPr>
          <w:rFonts w:ascii="Times New Roman" w:hAnsi="Times New Roman" w:cs="Times New Roman"/>
        </w:rPr>
        <w:t xml:space="preserve"> </w:t>
      </w:r>
      <w:r w:rsidR="00D71D2E">
        <w:rPr>
          <w:rFonts w:ascii="Times New Roman" w:hAnsi="Times New Roman" w:cs="Times New Roman"/>
        </w:rPr>
        <w:t xml:space="preserve">within groups are particularly large and substantially exceed the negative externalities of </w:t>
      </w:r>
      <w:r w:rsidR="009D42CE">
        <w:rPr>
          <w:rFonts w:ascii="Times New Roman" w:hAnsi="Times New Roman" w:cs="Times New Roman"/>
        </w:rPr>
        <w:t>this approach</w:t>
      </w:r>
      <w:r w:rsidR="009B6856">
        <w:rPr>
          <w:rFonts w:ascii="Times New Roman" w:hAnsi="Times New Roman" w:cs="Times New Roman"/>
        </w:rPr>
        <w:t xml:space="preserve"> (which was certainly not the case in </w:t>
      </w:r>
      <w:r w:rsidR="009B6856">
        <w:rPr>
          <w:rFonts w:ascii="Times New Roman" w:hAnsi="Times New Roman" w:cs="Times New Roman"/>
          <w:i/>
          <w:iCs/>
        </w:rPr>
        <w:t xml:space="preserve">Adams </w:t>
      </w:r>
      <w:r w:rsidR="009B6856">
        <w:rPr>
          <w:rFonts w:ascii="Times New Roman" w:hAnsi="Times New Roman" w:cs="Times New Roman"/>
        </w:rPr>
        <w:t>itself)</w:t>
      </w:r>
      <w:r w:rsidR="00D71D2E">
        <w:rPr>
          <w:rFonts w:ascii="Times New Roman" w:hAnsi="Times New Roman" w:cs="Times New Roman"/>
        </w:rPr>
        <w:t>.</w:t>
      </w:r>
      <w:r w:rsidR="009D42CE">
        <w:rPr>
          <w:rFonts w:ascii="Times New Roman" w:hAnsi="Times New Roman" w:cs="Times New Roman"/>
        </w:rPr>
        <w:t xml:space="preserve"> However, it is difficult to see how, within the existing doctrinal structure of vicarious liability, a distinction which turns on the balance between the negative and positive externalities of a particular project could easily be operationalised. Certainly, the concept of “control”</w:t>
      </w:r>
      <w:r w:rsidR="00D23300">
        <w:rPr>
          <w:rFonts w:ascii="Times New Roman" w:hAnsi="Times New Roman" w:cs="Times New Roman"/>
        </w:rPr>
        <w:t>,</w:t>
      </w:r>
      <w:r w:rsidR="009D42CE">
        <w:rPr>
          <w:rFonts w:ascii="Times New Roman" w:hAnsi="Times New Roman" w:cs="Times New Roman"/>
        </w:rPr>
        <w:t xml:space="preserve"> which in many accounts underlies rationales for vicarious liability</w:t>
      </w:r>
      <w:r w:rsidR="00D23300">
        <w:rPr>
          <w:rFonts w:ascii="Times New Roman" w:hAnsi="Times New Roman" w:cs="Times New Roman"/>
        </w:rPr>
        <w:t>,</w:t>
      </w:r>
      <w:r w:rsidR="009D42CE">
        <w:rPr>
          <w:rFonts w:ascii="Times New Roman" w:hAnsi="Times New Roman" w:cs="Times New Roman"/>
        </w:rPr>
        <w:t xml:space="preserve"> seems inapt for this purpose.</w:t>
      </w:r>
      <w:r w:rsidR="00EA3C35">
        <w:rPr>
          <w:rFonts w:ascii="Times New Roman" w:hAnsi="Times New Roman" w:cs="Times New Roman"/>
        </w:rPr>
        <w:t xml:space="preserve"> The parent will always have the possibility of exercising control over a wholly- or majority-owned, direct or indirect subsidiary, whether it chooses to exercise it or not</w:t>
      </w:r>
      <w:r w:rsidR="00402AC1">
        <w:rPr>
          <w:rFonts w:ascii="Times New Roman" w:hAnsi="Times New Roman" w:cs="Times New Roman"/>
        </w:rPr>
        <w:t>,</w:t>
      </w:r>
      <w:r w:rsidR="00A76473">
        <w:rPr>
          <w:rStyle w:val="ab"/>
          <w:rFonts w:ascii="Times New Roman" w:hAnsi="Times New Roman" w:cs="Times New Roman"/>
        </w:rPr>
        <w:footnoteReference w:id="99"/>
      </w:r>
      <w:r w:rsidR="00402AC1">
        <w:rPr>
          <w:rFonts w:ascii="Times New Roman" w:hAnsi="Times New Roman" w:cs="Times New Roman"/>
        </w:rPr>
        <w:t xml:space="preserve"> and </w:t>
      </w:r>
      <w:r w:rsidR="00402AC1">
        <w:rPr>
          <w:rFonts w:ascii="Times New Roman" w:hAnsi="Times New Roman" w:cs="Times New Roman"/>
        </w:rPr>
        <w:lastRenderedPageBreak/>
        <w:t>this power does not map onto an analysis of the externalities arising out of the subsidiary’s activities.</w:t>
      </w:r>
      <w:r w:rsidR="002358A6">
        <w:rPr>
          <w:rFonts w:ascii="Times New Roman" w:hAnsi="Times New Roman" w:cs="Times New Roman"/>
        </w:rPr>
        <w:t xml:space="preserve"> </w:t>
      </w:r>
    </w:p>
    <w:p w14:paraId="23E46013" w14:textId="51762DD8" w:rsidR="009D42CE" w:rsidRDefault="002358A6" w:rsidP="00B71028">
      <w:pPr>
        <w:spacing w:line="276" w:lineRule="auto"/>
        <w:jc w:val="both"/>
        <w:rPr>
          <w:rFonts w:ascii="Times New Roman" w:hAnsi="Times New Roman" w:cs="Times New Roman"/>
        </w:rPr>
      </w:pPr>
      <w:r>
        <w:rPr>
          <w:rFonts w:ascii="Times New Roman" w:hAnsi="Times New Roman" w:cs="Times New Roman"/>
        </w:rPr>
        <w:t xml:space="preserve">It </w:t>
      </w:r>
      <w:r w:rsidR="00077923">
        <w:rPr>
          <w:rFonts w:ascii="Times New Roman" w:hAnsi="Times New Roman" w:cs="Times New Roman"/>
        </w:rPr>
        <w:t xml:space="preserve">may be urged </w:t>
      </w:r>
      <w:r>
        <w:rPr>
          <w:rFonts w:ascii="Times New Roman" w:hAnsi="Times New Roman" w:cs="Times New Roman"/>
        </w:rPr>
        <w:t xml:space="preserve">that </w:t>
      </w:r>
      <w:r w:rsidR="00077923">
        <w:rPr>
          <w:rFonts w:ascii="Times New Roman" w:hAnsi="Times New Roman" w:cs="Times New Roman"/>
        </w:rPr>
        <w:t xml:space="preserve">tort law engages in the </w:t>
      </w:r>
      <w:r>
        <w:rPr>
          <w:rFonts w:ascii="Times New Roman" w:hAnsi="Times New Roman" w:cs="Times New Roman"/>
        </w:rPr>
        <w:t xml:space="preserve">balancing </w:t>
      </w:r>
      <w:r w:rsidR="00077923">
        <w:rPr>
          <w:rFonts w:ascii="Times New Roman" w:hAnsi="Times New Roman" w:cs="Times New Roman"/>
        </w:rPr>
        <w:t>process</w:t>
      </w:r>
      <w:r>
        <w:rPr>
          <w:rFonts w:ascii="Times New Roman" w:hAnsi="Times New Roman" w:cs="Times New Roman"/>
        </w:rPr>
        <w:t xml:space="preserve"> in the logically prior stage when it is determined whether the subsidiary has committed a tort under, for example, a reasonable care standard. But </w:t>
      </w:r>
      <w:r w:rsidR="00972137">
        <w:rPr>
          <w:rFonts w:ascii="Times New Roman" w:hAnsi="Times New Roman" w:cs="Times New Roman"/>
        </w:rPr>
        <w:t>it can be countered that the balancing exercise is better done via the duty issue under the parent tort theory</w:t>
      </w:r>
      <w:r w:rsidR="00C240A2">
        <w:rPr>
          <w:rFonts w:ascii="Times New Roman" w:hAnsi="Times New Roman" w:cs="Times New Roman"/>
        </w:rPr>
        <w:t>, the subsidiary being subject to a separate assessment of its tortious liability</w:t>
      </w:r>
      <w:r w:rsidR="00972137">
        <w:rPr>
          <w:rFonts w:ascii="Times New Roman" w:hAnsi="Times New Roman" w:cs="Times New Roman"/>
        </w:rPr>
        <w:t>. After all, it will normally be reduplicative to impose monitoring costs on the parent, if the operative group company is both the formulator of policy in the relevant area and properly funded</w:t>
      </w:r>
      <w:r w:rsidR="00C240A2">
        <w:rPr>
          <w:rFonts w:ascii="Times New Roman" w:hAnsi="Times New Roman" w:cs="Times New Roman"/>
        </w:rPr>
        <w:t xml:space="preserve">, as the Court of Appeal recognised in the </w:t>
      </w:r>
      <w:r w:rsidR="00C240A2">
        <w:rPr>
          <w:rFonts w:ascii="Times New Roman" w:hAnsi="Times New Roman" w:cs="Times New Roman"/>
          <w:i/>
          <w:iCs/>
        </w:rPr>
        <w:t xml:space="preserve">Unilever </w:t>
      </w:r>
      <w:r w:rsidR="00C240A2">
        <w:rPr>
          <w:rFonts w:ascii="Times New Roman" w:hAnsi="Times New Roman" w:cs="Times New Roman"/>
        </w:rPr>
        <w:t>case</w:t>
      </w:r>
      <w:r w:rsidR="00972137">
        <w:rPr>
          <w:rFonts w:ascii="Times New Roman" w:hAnsi="Times New Roman" w:cs="Times New Roman"/>
        </w:rPr>
        <w:t>.</w:t>
      </w:r>
      <w:r w:rsidR="00C240A2">
        <w:rPr>
          <w:rStyle w:val="ab"/>
          <w:rFonts w:ascii="Times New Roman" w:hAnsi="Times New Roman" w:cs="Times New Roman"/>
        </w:rPr>
        <w:footnoteReference w:id="100"/>
      </w:r>
      <w:r w:rsidR="00793E85">
        <w:rPr>
          <w:rFonts w:ascii="Times New Roman" w:hAnsi="Times New Roman" w:cs="Times New Roman"/>
        </w:rPr>
        <w:t xml:space="preserve"> By focussing on the parent, rather than the subsidiary, tort law is likely to reach a more appropriate set of decisions.</w:t>
      </w:r>
    </w:p>
    <w:p w14:paraId="6586CD6C" w14:textId="46BCC9A7" w:rsidR="000F7C3E" w:rsidRDefault="00822FE8" w:rsidP="00B71028">
      <w:pPr>
        <w:spacing w:line="276" w:lineRule="auto"/>
        <w:jc w:val="both"/>
        <w:rPr>
          <w:rFonts w:ascii="Times New Roman" w:hAnsi="Times New Roman" w:cs="Times New Roman"/>
          <w:i/>
          <w:iCs/>
        </w:rPr>
      </w:pPr>
      <w:r>
        <w:rPr>
          <w:rFonts w:ascii="Times New Roman" w:hAnsi="Times New Roman" w:cs="Times New Roman"/>
          <w:i/>
          <w:iCs/>
        </w:rPr>
        <w:t>Due Diligence</w:t>
      </w:r>
    </w:p>
    <w:p w14:paraId="41EFFBD3" w14:textId="07362603" w:rsidR="005049A5" w:rsidRDefault="00822FE8" w:rsidP="00B71028">
      <w:pPr>
        <w:spacing w:line="276" w:lineRule="auto"/>
        <w:jc w:val="both"/>
        <w:rPr>
          <w:rFonts w:ascii="Times New Roman" w:hAnsi="Times New Roman" w:cs="Times New Roman"/>
        </w:rPr>
      </w:pPr>
      <w:r>
        <w:rPr>
          <w:rFonts w:ascii="Times New Roman" w:hAnsi="Times New Roman" w:cs="Times New Roman"/>
        </w:rPr>
        <w:t>As embodied in the EU’s Corporate Sustainability Due Diligence Directive (CS3D),</w:t>
      </w:r>
      <w:r w:rsidR="00313702">
        <w:rPr>
          <w:rStyle w:val="ab"/>
          <w:rFonts w:ascii="Times New Roman" w:hAnsi="Times New Roman" w:cs="Times New Roman"/>
        </w:rPr>
        <w:footnoteReference w:id="101"/>
      </w:r>
      <w:r>
        <w:rPr>
          <w:rFonts w:ascii="Times New Roman" w:hAnsi="Times New Roman" w:cs="Times New Roman"/>
        </w:rPr>
        <w:t xml:space="preserve"> the due diligence obligation can be seen as a development of the parent-tort theory. It is both broader and narrower than that theory. It is broader in that the due diligence obligation is imposed on covered companies, </w:t>
      </w:r>
      <w:proofErr w:type="gramStart"/>
      <w:r>
        <w:rPr>
          <w:rFonts w:ascii="Times New Roman" w:hAnsi="Times New Roman" w:cs="Times New Roman"/>
        </w:rPr>
        <w:t>whether or not</w:t>
      </w:r>
      <w:proofErr w:type="gramEnd"/>
      <w:r>
        <w:rPr>
          <w:rFonts w:ascii="Times New Roman" w:hAnsi="Times New Roman" w:cs="Times New Roman"/>
        </w:rPr>
        <w:t xml:space="preserve"> they have assumed managerial control of the relevant activity</w:t>
      </w:r>
      <w:r w:rsidR="00CB5374">
        <w:rPr>
          <w:rFonts w:ascii="Times New Roman" w:hAnsi="Times New Roman" w:cs="Times New Roman"/>
        </w:rPr>
        <w:t xml:space="preserve"> at subsidiary level</w:t>
      </w:r>
      <w:r>
        <w:rPr>
          <w:rFonts w:ascii="Times New Roman" w:hAnsi="Times New Roman" w:cs="Times New Roman"/>
        </w:rPr>
        <w:t xml:space="preserve">. It is </w:t>
      </w:r>
      <w:r w:rsidR="00AE5FCC">
        <w:rPr>
          <w:rFonts w:ascii="Times New Roman" w:hAnsi="Times New Roman" w:cs="Times New Roman"/>
        </w:rPr>
        <w:t xml:space="preserve">possibly </w:t>
      </w:r>
      <w:r>
        <w:rPr>
          <w:rFonts w:ascii="Times New Roman" w:hAnsi="Times New Roman" w:cs="Times New Roman"/>
        </w:rPr>
        <w:t>broader also in that the obligation is to be discharged not only in respect of all other entities in the group but also in respect of entities in the supply chain, both upstream and downstream</w:t>
      </w:r>
      <w:r w:rsidR="00AE5FCC">
        <w:rPr>
          <w:rFonts w:ascii="Times New Roman" w:hAnsi="Times New Roman" w:cs="Times New Roman"/>
        </w:rPr>
        <w:t>, though the parent tort theory is capable of being extended in this way</w:t>
      </w:r>
      <w:r>
        <w:rPr>
          <w:rFonts w:ascii="Times New Roman" w:hAnsi="Times New Roman" w:cs="Times New Roman"/>
        </w:rPr>
        <w:t xml:space="preserve">. It is narrower in that </w:t>
      </w:r>
      <w:r w:rsidR="00CB5374">
        <w:rPr>
          <w:rFonts w:ascii="Times New Roman" w:hAnsi="Times New Roman" w:cs="Times New Roman"/>
        </w:rPr>
        <w:t>the Directive</w:t>
      </w:r>
      <w:r>
        <w:rPr>
          <w:rFonts w:ascii="Times New Roman" w:hAnsi="Times New Roman" w:cs="Times New Roman"/>
        </w:rPr>
        <w:t xml:space="preserve"> applies only to a set of very large companies – a smaller set in the amended version than originally envisaged – though that set embraces companies engaged in the relevant </w:t>
      </w:r>
      <w:r w:rsidR="00AE5FCC">
        <w:rPr>
          <w:rFonts w:ascii="Times New Roman" w:hAnsi="Times New Roman" w:cs="Times New Roman"/>
        </w:rPr>
        <w:t>level</w:t>
      </w:r>
      <w:r>
        <w:rPr>
          <w:rFonts w:ascii="Times New Roman" w:hAnsi="Times New Roman" w:cs="Times New Roman"/>
        </w:rPr>
        <w:t xml:space="preserve"> of business activities in the EU, whether incorporated in an EU member state or not. It is narrower also in requiring due diligence in respect of a list of international treaties in the </w:t>
      </w:r>
      <w:r w:rsidR="00077923">
        <w:rPr>
          <w:rFonts w:ascii="Times New Roman" w:hAnsi="Times New Roman" w:cs="Times New Roman"/>
        </w:rPr>
        <w:t xml:space="preserve">labour, </w:t>
      </w:r>
      <w:r>
        <w:rPr>
          <w:rFonts w:ascii="Times New Roman" w:hAnsi="Times New Roman" w:cs="Times New Roman"/>
        </w:rPr>
        <w:t>human rights and environmental area</w:t>
      </w:r>
      <w:r w:rsidR="00077923">
        <w:rPr>
          <w:rFonts w:ascii="Times New Roman" w:hAnsi="Times New Roman" w:cs="Times New Roman"/>
        </w:rPr>
        <w:t>s</w:t>
      </w:r>
      <w:r>
        <w:rPr>
          <w:rFonts w:ascii="Times New Roman" w:hAnsi="Times New Roman" w:cs="Times New Roman"/>
        </w:rPr>
        <w:t>, and so does not cover all possible illegal actions by subsidiaries and supply chain entities.</w:t>
      </w:r>
      <w:r w:rsidR="00CB5374">
        <w:rPr>
          <w:rStyle w:val="ab"/>
          <w:rFonts w:ascii="Times New Roman" w:hAnsi="Times New Roman" w:cs="Times New Roman"/>
        </w:rPr>
        <w:footnoteReference w:id="102"/>
      </w:r>
      <w:r>
        <w:rPr>
          <w:rFonts w:ascii="Times New Roman" w:hAnsi="Times New Roman" w:cs="Times New Roman"/>
        </w:rPr>
        <w:t xml:space="preserve"> </w:t>
      </w:r>
      <w:r w:rsidR="00CB5374">
        <w:rPr>
          <w:rFonts w:ascii="Times New Roman" w:hAnsi="Times New Roman" w:cs="Times New Roman"/>
        </w:rPr>
        <w:t>Enforcement is via both supervisory sanctions and litigation seeking redress under national civil law, which, however, must meet certain standards set out in the Directive.</w:t>
      </w:r>
    </w:p>
    <w:p w14:paraId="35FA8BA4" w14:textId="2D090029" w:rsidR="009F40D6" w:rsidRDefault="005049A5" w:rsidP="00B71028">
      <w:pPr>
        <w:spacing w:line="276" w:lineRule="auto"/>
        <w:jc w:val="both"/>
        <w:rPr>
          <w:rFonts w:ascii="Times New Roman" w:hAnsi="Times New Roman" w:cs="Times New Roman"/>
        </w:rPr>
      </w:pPr>
      <w:r>
        <w:rPr>
          <w:rFonts w:ascii="Times New Roman" w:hAnsi="Times New Roman" w:cs="Times New Roman"/>
        </w:rPr>
        <w:t>The Directive might serve as a model for a legislative innovation</w:t>
      </w:r>
      <w:r w:rsidR="00077923">
        <w:rPr>
          <w:rStyle w:val="ab"/>
          <w:rFonts w:ascii="Times New Roman" w:hAnsi="Times New Roman" w:cs="Times New Roman"/>
        </w:rPr>
        <w:footnoteReference w:id="103"/>
      </w:r>
      <w:r>
        <w:rPr>
          <w:rFonts w:ascii="Times New Roman" w:hAnsi="Times New Roman" w:cs="Times New Roman"/>
        </w:rPr>
        <w:t xml:space="preserve"> – though give the push-back from business organisations against this EU initiative, it would require a bold legislature to follow the model. It is very unlikely to serve as a model for judicial creativity, though its existence, especially if it is regarded as a success in due course, may encourage the courts to develop the parent-tort model in an expansive way.</w:t>
      </w:r>
    </w:p>
    <w:p w14:paraId="795BF4E8" w14:textId="4D55D58A" w:rsidR="0009264B" w:rsidRPr="00D60E3C" w:rsidRDefault="0009264B" w:rsidP="00B71028">
      <w:pPr>
        <w:spacing w:line="276" w:lineRule="auto"/>
        <w:jc w:val="both"/>
        <w:rPr>
          <w:rFonts w:ascii="Times New Roman" w:hAnsi="Times New Roman" w:cs="Times New Roman"/>
        </w:rPr>
      </w:pPr>
      <w:r>
        <w:rPr>
          <w:rFonts w:ascii="Times New Roman" w:hAnsi="Times New Roman" w:cs="Times New Roman"/>
        </w:rPr>
        <w:lastRenderedPageBreak/>
        <w:t xml:space="preserve">Overall, it is concluded that, </w:t>
      </w:r>
      <w:r w:rsidR="00402AC1">
        <w:rPr>
          <w:rFonts w:ascii="Times New Roman" w:hAnsi="Times New Roman" w:cs="Times New Roman"/>
        </w:rPr>
        <w:t>to shape</w:t>
      </w:r>
      <w:r>
        <w:rPr>
          <w:rFonts w:ascii="Times New Roman" w:hAnsi="Times New Roman" w:cs="Times New Roman"/>
        </w:rPr>
        <w:t xml:space="preserve"> judicial responses to the difficulties created by </w:t>
      </w:r>
      <w:r>
        <w:rPr>
          <w:rFonts w:ascii="Times New Roman" w:hAnsi="Times New Roman" w:cs="Times New Roman"/>
          <w:i/>
          <w:iCs/>
        </w:rPr>
        <w:t xml:space="preserve">Adams </w:t>
      </w:r>
      <w:r>
        <w:rPr>
          <w:rFonts w:ascii="Times New Roman" w:hAnsi="Times New Roman" w:cs="Times New Roman"/>
        </w:rPr>
        <w:t>for non-adjusting creditors, the parent-tort theory has the greatest potential, though that potential has yet to be fully realised.</w:t>
      </w:r>
      <w:r w:rsidR="00402AC1">
        <w:rPr>
          <w:rFonts w:ascii="Times New Roman" w:hAnsi="Times New Roman" w:cs="Times New Roman"/>
        </w:rPr>
        <w:t xml:space="preserve"> As Hansmann and </w:t>
      </w:r>
      <w:proofErr w:type="spellStart"/>
      <w:r w:rsidR="00402AC1">
        <w:rPr>
          <w:rFonts w:ascii="Times New Roman" w:hAnsi="Times New Roman" w:cs="Times New Roman"/>
        </w:rPr>
        <w:t>Kraakman</w:t>
      </w:r>
      <w:proofErr w:type="spellEnd"/>
      <w:r w:rsidR="00402AC1">
        <w:rPr>
          <w:rFonts w:ascii="Times New Roman" w:hAnsi="Times New Roman" w:cs="Times New Roman"/>
        </w:rPr>
        <w:t xml:space="preserve"> put it, “</w:t>
      </w:r>
      <w:r w:rsidR="00402AC1" w:rsidRPr="00402AC1">
        <w:rPr>
          <w:rFonts w:ascii="Times New Roman" w:hAnsi="Times New Roman" w:cs="Times New Roman"/>
        </w:rPr>
        <w:t>shareholder liability should be viewed as a problem of tort law and not as a problem of corporate law</w:t>
      </w:r>
      <w:r w:rsidR="00402AC1">
        <w:rPr>
          <w:rFonts w:ascii="Times New Roman" w:hAnsi="Times New Roman" w:cs="Times New Roman"/>
        </w:rPr>
        <w:t>”</w:t>
      </w:r>
      <w:r w:rsidR="00402AC1" w:rsidRPr="00402AC1">
        <w:rPr>
          <w:rFonts w:ascii="Times New Roman" w:hAnsi="Times New Roman" w:cs="Times New Roman"/>
        </w:rPr>
        <w:t>.</w:t>
      </w:r>
      <w:r w:rsidR="00402AC1">
        <w:rPr>
          <w:rStyle w:val="ab"/>
          <w:rFonts w:ascii="Times New Roman" w:hAnsi="Times New Roman" w:cs="Times New Roman"/>
        </w:rPr>
        <w:footnoteReference w:id="104"/>
      </w:r>
      <w:r w:rsidR="006E1260">
        <w:rPr>
          <w:rFonts w:ascii="Times New Roman" w:hAnsi="Times New Roman" w:cs="Times New Roman"/>
        </w:rPr>
        <w:t xml:space="preserve"> By holding itself out as responsible for the </w:t>
      </w:r>
      <w:r w:rsidR="00926704">
        <w:rPr>
          <w:rFonts w:ascii="Times New Roman" w:hAnsi="Times New Roman" w:cs="Times New Roman"/>
        </w:rPr>
        <w:t xml:space="preserve">formulation and implementation of the </w:t>
      </w:r>
      <w:r w:rsidR="006E1260">
        <w:rPr>
          <w:rFonts w:ascii="Times New Roman" w:hAnsi="Times New Roman" w:cs="Times New Roman"/>
        </w:rPr>
        <w:t xml:space="preserve">very policy whose failure led to the claimants’ harm, the parent company could be said to have self-identified as the cheapest cost avoider of that harm and thus to be </w:t>
      </w:r>
      <w:r w:rsidR="00D60E3C">
        <w:rPr>
          <w:rFonts w:ascii="Times New Roman" w:hAnsi="Times New Roman" w:cs="Times New Roman"/>
        </w:rPr>
        <w:t xml:space="preserve">an appropriate bearer of tortious liability. The parent-tort theory is thus a more nuanced and defensible extension of liability beyond the subsidiary tortfeasor than the blunt instrument of vicarious liability or even the due diligence approach of the CS3D. Moreover, despite the label I have attached to this branch of tort liability, the theory is not </w:t>
      </w:r>
      <w:r w:rsidR="00926704">
        <w:rPr>
          <w:rFonts w:ascii="Times New Roman" w:hAnsi="Times New Roman" w:cs="Times New Roman"/>
        </w:rPr>
        <w:t xml:space="preserve">necessarily </w:t>
      </w:r>
      <w:r w:rsidR="00D60E3C">
        <w:rPr>
          <w:rFonts w:ascii="Times New Roman" w:hAnsi="Times New Roman" w:cs="Times New Roman"/>
        </w:rPr>
        <w:t xml:space="preserve">confined to </w:t>
      </w:r>
      <w:r w:rsidR="00AE5FCC">
        <w:rPr>
          <w:rFonts w:ascii="Times New Roman" w:hAnsi="Times New Roman" w:cs="Times New Roman"/>
        </w:rPr>
        <w:t>companies which are parents of corporate groups. This was suggested by</w:t>
      </w:r>
      <w:r w:rsidR="00D60E3C">
        <w:rPr>
          <w:rFonts w:ascii="Times New Roman" w:hAnsi="Times New Roman" w:cs="Times New Roman"/>
        </w:rPr>
        <w:t xml:space="preserve"> Sales L</w:t>
      </w:r>
      <w:r w:rsidR="00313702">
        <w:rPr>
          <w:rFonts w:ascii="Times New Roman" w:hAnsi="Times New Roman" w:cs="Times New Roman"/>
        </w:rPr>
        <w:t>J</w:t>
      </w:r>
      <w:r w:rsidR="00D60E3C">
        <w:rPr>
          <w:rFonts w:ascii="Times New Roman" w:hAnsi="Times New Roman" w:cs="Times New Roman"/>
        </w:rPr>
        <w:t xml:space="preserve"> in the </w:t>
      </w:r>
      <w:r w:rsidR="00D60E3C">
        <w:rPr>
          <w:rFonts w:ascii="Times New Roman" w:hAnsi="Times New Roman" w:cs="Times New Roman"/>
          <w:i/>
          <w:iCs/>
        </w:rPr>
        <w:t xml:space="preserve">Unilever </w:t>
      </w:r>
      <w:r w:rsidR="00D60E3C">
        <w:rPr>
          <w:rFonts w:ascii="Times New Roman" w:hAnsi="Times New Roman" w:cs="Times New Roman"/>
        </w:rPr>
        <w:t>case</w:t>
      </w:r>
      <w:r w:rsidR="00AE5FCC">
        <w:rPr>
          <w:rFonts w:ascii="Times New Roman" w:hAnsi="Times New Roman" w:cs="Times New Roman"/>
        </w:rPr>
        <w:t>.</w:t>
      </w:r>
      <w:r w:rsidR="00D60E3C">
        <w:rPr>
          <w:rStyle w:val="ab"/>
          <w:rFonts w:ascii="Times New Roman" w:hAnsi="Times New Roman" w:cs="Times New Roman"/>
        </w:rPr>
        <w:footnoteReference w:id="105"/>
      </w:r>
      <w:r w:rsidR="00D60E3C">
        <w:rPr>
          <w:rFonts w:ascii="Times New Roman" w:hAnsi="Times New Roman" w:cs="Times New Roman"/>
        </w:rPr>
        <w:t xml:space="preserve"> </w:t>
      </w:r>
      <w:r w:rsidR="00AE5FCC">
        <w:rPr>
          <w:rFonts w:ascii="Times New Roman" w:hAnsi="Times New Roman" w:cs="Times New Roman"/>
        </w:rPr>
        <w:t>H</w:t>
      </w:r>
      <w:r w:rsidR="00D60E3C">
        <w:rPr>
          <w:rFonts w:ascii="Times New Roman" w:hAnsi="Times New Roman" w:cs="Times New Roman"/>
        </w:rPr>
        <w:t>is example was an e</w:t>
      </w:r>
      <w:r w:rsidR="00CB25FE">
        <w:rPr>
          <w:rFonts w:ascii="Times New Roman" w:hAnsi="Times New Roman" w:cs="Times New Roman"/>
        </w:rPr>
        <w:t>xternal consultant giving advice directly to a tortfeasor subsidiary where the consultant could be said to have accepted the relevant level of responsibility towards those harmed by the subsidiary</w:t>
      </w:r>
      <w:r w:rsidR="00AE5FCC">
        <w:rPr>
          <w:rFonts w:ascii="Times New Roman" w:hAnsi="Times New Roman" w:cs="Times New Roman"/>
        </w:rPr>
        <w:t>’s actions</w:t>
      </w:r>
      <w:r w:rsidR="00CB25FE">
        <w:rPr>
          <w:rFonts w:ascii="Times New Roman" w:hAnsi="Times New Roman" w:cs="Times New Roman"/>
        </w:rPr>
        <w:t xml:space="preserve">. </w:t>
      </w:r>
      <w:r w:rsidR="00AE5FCC">
        <w:rPr>
          <w:rFonts w:ascii="Times New Roman" w:hAnsi="Times New Roman" w:cs="Times New Roman"/>
        </w:rPr>
        <w:t>More important, i</w:t>
      </w:r>
      <w:r w:rsidR="00CB25FE">
        <w:rPr>
          <w:rFonts w:ascii="Times New Roman" w:hAnsi="Times New Roman" w:cs="Times New Roman"/>
        </w:rPr>
        <w:t>n terms of claimants, the doctrine would seem a</w:t>
      </w:r>
      <w:r w:rsidR="00926704">
        <w:rPr>
          <w:rFonts w:ascii="Times New Roman" w:hAnsi="Times New Roman" w:cs="Times New Roman"/>
        </w:rPr>
        <w:t xml:space="preserve">vailable </w:t>
      </w:r>
      <w:r w:rsidR="00AE5FCC">
        <w:rPr>
          <w:rFonts w:ascii="Times New Roman" w:hAnsi="Times New Roman" w:cs="Times New Roman"/>
        </w:rPr>
        <w:t xml:space="preserve">in appropriate cases </w:t>
      </w:r>
      <w:r w:rsidR="00926704">
        <w:rPr>
          <w:rFonts w:ascii="Times New Roman" w:hAnsi="Times New Roman" w:cs="Times New Roman"/>
        </w:rPr>
        <w:t xml:space="preserve">to </w:t>
      </w:r>
      <w:r w:rsidR="00CB25FE">
        <w:rPr>
          <w:rFonts w:ascii="Times New Roman" w:hAnsi="Times New Roman" w:cs="Times New Roman"/>
        </w:rPr>
        <w:t>those harmed by the tortious activities of contractors in the supply chain</w:t>
      </w:r>
      <w:r w:rsidR="00926704">
        <w:rPr>
          <w:rFonts w:ascii="Times New Roman" w:hAnsi="Times New Roman" w:cs="Times New Roman"/>
        </w:rPr>
        <w:t xml:space="preserve"> who wish to sue the parent company</w:t>
      </w:r>
      <w:r w:rsidR="00E97A06">
        <w:rPr>
          <w:rFonts w:ascii="Times New Roman" w:hAnsi="Times New Roman" w:cs="Times New Roman"/>
        </w:rPr>
        <w:t>.</w:t>
      </w:r>
      <w:r w:rsidR="00E97A06">
        <w:rPr>
          <w:rStyle w:val="ab"/>
          <w:rFonts w:ascii="Times New Roman" w:hAnsi="Times New Roman" w:cs="Times New Roman"/>
        </w:rPr>
        <w:footnoteReference w:id="106"/>
      </w:r>
    </w:p>
    <w:p w14:paraId="7800E68F" w14:textId="21900C53" w:rsidR="00822FE8" w:rsidRDefault="009F40D6" w:rsidP="00B71028">
      <w:pPr>
        <w:pStyle w:val="a6"/>
        <w:numPr>
          <w:ilvl w:val="0"/>
          <w:numId w:val="1"/>
        </w:numPr>
        <w:spacing w:line="276" w:lineRule="auto"/>
        <w:jc w:val="both"/>
        <w:rPr>
          <w:rFonts w:ascii="Times New Roman" w:hAnsi="Times New Roman" w:cs="Times New Roman"/>
        </w:rPr>
      </w:pPr>
      <w:r>
        <w:rPr>
          <w:rFonts w:ascii="Times New Roman" w:hAnsi="Times New Roman" w:cs="Times New Roman"/>
          <w:b/>
          <w:bCs/>
        </w:rPr>
        <w:t>Conclusion</w:t>
      </w:r>
      <w:r w:rsidR="00CB5374" w:rsidRPr="009F40D6">
        <w:rPr>
          <w:rFonts w:ascii="Times New Roman" w:hAnsi="Times New Roman" w:cs="Times New Roman"/>
        </w:rPr>
        <w:t xml:space="preserve">  </w:t>
      </w:r>
    </w:p>
    <w:p w14:paraId="6323F97C" w14:textId="5F312F68" w:rsidR="009F40D6" w:rsidRPr="00984E49" w:rsidRDefault="009F40D6" w:rsidP="00B71028">
      <w:pPr>
        <w:spacing w:line="276" w:lineRule="auto"/>
        <w:jc w:val="both"/>
        <w:rPr>
          <w:rFonts w:ascii="Times New Roman" w:hAnsi="Times New Roman" w:cs="Times New Roman"/>
        </w:rPr>
      </w:pPr>
      <w:r>
        <w:rPr>
          <w:rFonts w:ascii="Times New Roman" w:hAnsi="Times New Roman" w:cs="Times New Roman"/>
        </w:rPr>
        <w:t xml:space="preserve">At the end of the day, what </w:t>
      </w:r>
      <w:r w:rsidR="00D53640">
        <w:rPr>
          <w:rFonts w:ascii="Times New Roman" w:hAnsi="Times New Roman" w:cs="Times New Roman"/>
        </w:rPr>
        <w:t xml:space="preserve">is the </w:t>
      </w:r>
      <w:proofErr w:type="gramStart"/>
      <w:r w:rsidR="00D53640">
        <w:rPr>
          <w:rFonts w:ascii="Times New Roman" w:hAnsi="Times New Roman" w:cs="Times New Roman"/>
        </w:rPr>
        <w:t>current status</w:t>
      </w:r>
      <w:proofErr w:type="gramEnd"/>
      <w:r w:rsidR="00D53640">
        <w:rPr>
          <w:rFonts w:ascii="Times New Roman" w:hAnsi="Times New Roman" w:cs="Times New Roman"/>
        </w:rPr>
        <w:t xml:space="preserve"> </w:t>
      </w:r>
      <w:r>
        <w:rPr>
          <w:rFonts w:ascii="Times New Roman" w:hAnsi="Times New Roman" w:cs="Times New Roman"/>
        </w:rPr>
        <w:t xml:space="preserve">of </w:t>
      </w:r>
      <w:r>
        <w:rPr>
          <w:rFonts w:ascii="Times New Roman" w:hAnsi="Times New Roman" w:cs="Times New Roman"/>
          <w:i/>
          <w:iCs/>
        </w:rPr>
        <w:t xml:space="preserve">Adams v Cape Industries </w:t>
      </w:r>
      <w:r w:rsidR="00D53640">
        <w:rPr>
          <w:rFonts w:ascii="Times New Roman" w:hAnsi="Times New Roman" w:cs="Times New Roman"/>
        </w:rPr>
        <w:t>on the issue of parent company liability to non-adjusting creditors</w:t>
      </w:r>
      <w:r w:rsidR="001B0CD1">
        <w:rPr>
          <w:rFonts w:ascii="Times New Roman" w:hAnsi="Times New Roman" w:cs="Times New Roman"/>
        </w:rPr>
        <w:t>?</w:t>
      </w:r>
      <w:r>
        <w:rPr>
          <w:rFonts w:ascii="Times New Roman" w:hAnsi="Times New Roman" w:cs="Times New Roman"/>
        </w:rPr>
        <w:t xml:space="preserve"> As Lord Sumption said in </w:t>
      </w:r>
      <w:r>
        <w:rPr>
          <w:rFonts w:ascii="Times New Roman" w:hAnsi="Times New Roman" w:cs="Times New Roman"/>
          <w:i/>
          <w:iCs/>
        </w:rPr>
        <w:t>Prest</w:t>
      </w:r>
      <w:r>
        <w:rPr>
          <w:rFonts w:ascii="Times New Roman" w:hAnsi="Times New Roman" w:cs="Times New Roman"/>
        </w:rPr>
        <w:t xml:space="preserve">, it was the first case to try and make conceptual sense of the veil piercing doctrine. It did so by confining that doctrine to a </w:t>
      </w:r>
      <w:r w:rsidR="00172499">
        <w:rPr>
          <w:rFonts w:ascii="Times New Roman" w:hAnsi="Times New Roman" w:cs="Times New Roman"/>
        </w:rPr>
        <w:t xml:space="preserve">very </w:t>
      </w:r>
      <w:r>
        <w:rPr>
          <w:rFonts w:ascii="Times New Roman" w:hAnsi="Times New Roman" w:cs="Times New Roman"/>
        </w:rPr>
        <w:t>narrow compass. In English law</w:t>
      </w:r>
      <w:r w:rsidR="00984E49">
        <w:rPr>
          <w:rFonts w:ascii="Times New Roman" w:hAnsi="Times New Roman" w:cs="Times New Roman"/>
        </w:rPr>
        <w:t>, the decision has stood the test of time</w:t>
      </w:r>
      <w:r w:rsidR="00D53640">
        <w:rPr>
          <w:rFonts w:ascii="Times New Roman" w:hAnsi="Times New Roman" w:cs="Times New Roman"/>
        </w:rPr>
        <w:t xml:space="preserve"> as a matter of corporate law</w:t>
      </w:r>
      <w:r w:rsidR="00984E49">
        <w:rPr>
          <w:rFonts w:ascii="Times New Roman" w:hAnsi="Times New Roman" w:cs="Times New Roman"/>
        </w:rPr>
        <w:t>. Even the family division judges have been required to follow its narrow approach.</w:t>
      </w:r>
      <w:r w:rsidR="00ED6201">
        <w:rPr>
          <w:rStyle w:val="ab"/>
          <w:rFonts w:ascii="Times New Roman" w:hAnsi="Times New Roman" w:cs="Times New Roman"/>
        </w:rPr>
        <w:footnoteReference w:id="107"/>
      </w:r>
      <w:r w:rsidR="00984E49">
        <w:rPr>
          <w:rFonts w:ascii="Times New Roman" w:hAnsi="Times New Roman" w:cs="Times New Roman"/>
        </w:rPr>
        <w:t xml:space="preserve"> On the other hand, its adverse consequences for non-adjusting creditors, notably tort victims, </w:t>
      </w:r>
      <w:r w:rsidR="00D10762">
        <w:rPr>
          <w:rFonts w:ascii="Times New Roman" w:hAnsi="Times New Roman" w:cs="Times New Roman"/>
        </w:rPr>
        <w:t>bid fair to be</w:t>
      </w:r>
      <w:r w:rsidR="00984E49">
        <w:rPr>
          <w:rFonts w:ascii="Times New Roman" w:hAnsi="Times New Roman" w:cs="Times New Roman"/>
        </w:rPr>
        <w:t xml:space="preserve"> addressed by the deployment of a different set of rules derived from the law of tort itself. </w:t>
      </w:r>
      <w:r w:rsidR="00D10762">
        <w:rPr>
          <w:rFonts w:ascii="Times New Roman" w:hAnsi="Times New Roman" w:cs="Times New Roman"/>
        </w:rPr>
        <w:t>If the tort route is fully developed</w:t>
      </w:r>
      <w:r w:rsidR="00893445">
        <w:rPr>
          <w:rFonts w:ascii="Times New Roman" w:hAnsi="Times New Roman" w:cs="Times New Roman"/>
        </w:rPr>
        <w:t xml:space="preserve"> – and that remains to be seen</w:t>
      </w:r>
      <w:r w:rsidR="00ED6201">
        <w:rPr>
          <w:rFonts w:ascii="Times New Roman" w:hAnsi="Times New Roman" w:cs="Times New Roman"/>
        </w:rPr>
        <w:t xml:space="preserve"> -</w:t>
      </w:r>
      <w:r w:rsidR="00D10762">
        <w:rPr>
          <w:rFonts w:ascii="Times New Roman" w:hAnsi="Times New Roman" w:cs="Times New Roman"/>
        </w:rPr>
        <w:t xml:space="preserve"> </w:t>
      </w:r>
      <w:r w:rsidR="00984E49">
        <w:rPr>
          <w:rFonts w:ascii="Times New Roman" w:hAnsi="Times New Roman" w:cs="Times New Roman"/>
          <w:i/>
          <w:iCs/>
        </w:rPr>
        <w:t xml:space="preserve">Adams </w:t>
      </w:r>
      <w:r w:rsidR="00D10762">
        <w:rPr>
          <w:rFonts w:ascii="Times New Roman" w:hAnsi="Times New Roman" w:cs="Times New Roman"/>
        </w:rPr>
        <w:t xml:space="preserve">would become </w:t>
      </w:r>
      <w:r w:rsidR="00984E49">
        <w:rPr>
          <w:rFonts w:ascii="Times New Roman" w:hAnsi="Times New Roman" w:cs="Times New Roman"/>
        </w:rPr>
        <w:t xml:space="preserve">like a large rock set in a beach. It stands proud even </w:t>
      </w:r>
      <w:r w:rsidR="00ED733B">
        <w:rPr>
          <w:rFonts w:ascii="Times New Roman" w:hAnsi="Times New Roman" w:cs="Times New Roman"/>
        </w:rPr>
        <w:t>at the high water of</w:t>
      </w:r>
      <w:r w:rsidR="00984E49">
        <w:rPr>
          <w:rFonts w:ascii="Times New Roman" w:hAnsi="Times New Roman" w:cs="Times New Roman"/>
        </w:rPr>
        <w:t xml:space="preserve"> a spring tide, but as the </w:t>
      </w:r>
      <w:r w:rsidR="002E76E9">
        <w:rPr>
          <w:rFonts w:ascii="Times New Roman" w:hAnsi="Times New Roman" w:cs="Times New Roman"/>
        </w:rPr>
        <w:t>sea</w:t>
      </w:r>
      <w:r w:rsidR="00984E49">
        <w:rPr>
          <w:rFonts w:ascii="Times New Roman" w:hAnsi="Times New Roman" w:cs="Times New Roman"/>
        </w:rPr>
        <w:t xml:space="preserve"> flow</w:t>
      </w:r>
      <w:r w:rsidR="002E76E9">
        <w:rPr>
          <w:rFonts w:ascii="Times New Roman" w:hAnsi="Times New Roman" w:cs="Times New Roman"/>
        </w:rPr>
        <w:t>s</w:t>
      </w:r>
      <w:r w:rsidR="00984E49">
        <w:rPr>
          <w:rFonts w:ascii="Times New Roman" w:hAnsi="Times New Roman" w:cs="Times New Roman"/>
        </w:rPr>
        <w:t xml:space="preserve"> in twice a day, </w:t>
      </w:r>
      <w:r w:rsidR="002E76E9">
        <w:rPr>
          <w:rFonts w:ascii="Times New Roman" w:hAnsi="Times New Roman" w:cs="Times New Roman"/>
        </w:rPr>
        <w:t>it</w:t>
      </w:r>
      <w:r w:rsidR="00984E49">
        <w:rPr>
          <w:rFonts w:ascii="Times New Roman" w:hAnsi="Times New Roman" w:cs="Times New Roman"/>
        </w:rPr>
        <w:t xml:space="preserve"> </w:t>
      </w:r>
      <w:r w:rsidR="00EE1A71">
        <w:rPr>
          <w:rFonts w:ascii="Times New Roman" w:hAnsi="Times New Roman" w:cs="Times New Roman"/>
        </w:rPr>
        <w:t>p</w:t>
      </w:r>
      <w:r w:rsidR="00984E49">
        <w:rPr>
          <w:rFonts w:ascii="Times New Roman" w:hAnsi="Times New Roman" w:cs="Times New Roman"/>
        </w:rPr>
        <w:t>ush</w:t>
      </w:r>
      <w:r w:rsidR="002E76E9">
        <w:rPr>
          <w:rFonts w:ascii="Times New Roman" w:hAnsi="Times New Roman" w:cs="Times New Roman"/>
        </w:rPr>
        <w:t>es</w:t>
      </w:r>
      <w:r w:rsidR="00984E49">
        <w:rPr>
          <w:rFonts w:ascii="Times New Roman" w:hAnsi="Times New Roman" w:cs="Times New Roman"/>
        </w:rPr>
        <w:t xml:space="preserve"> around the rock and go</w:t>
      </w:r>
      <w:r w:rsidR="002E76E9">
        <w:rPr>
          <w:rFonts w:ascii="Times New Roman" w:hAnsi="Times New Roman" w:cs="Times New Roman"/>
        </w:rPr>
        <w:t>es</w:t>
      </w:r>
      <w:r w:rsidR="00984E49">
        <w:rPr>
          <w:rFonts w:ascii="Times New Roman" w:hAnsi="Times New Roman" w:cs="Times New Roman"/>
        </w:rPr>
        <w:t xml:space="preserve"> on to </w:t>
      </w:r>
      <w:r w:rsidR="00494F64">
        <w:rPr>
          <w:rFonts w:ascii="Times New Roman" w:hAnsi="Times New Roman" w:cs="Times New Roman"/>
        </w:rPr>
        <w:t>fulfil</w:t>
      </w:r>
      <w:r w:rsidR="00984E49">
        <w:rPr>
          <w:rFonts w:ascii="Times New Roman" w:hAnsi="Times New Roman" w:cs="Times New Roman"/>
        </w:rPr>
        <w:t xml:space="preserve"> </w:t>
      </w:r>
      <w:r w:rsidR="002E76E9">
        <w:rPr>
          <w:rFonts w:ascii="Times New Roman" w:hAnsi="Times New Roman" w:cs="Times New Roman"/>
        </w:rPr>
        <w:t>its</w:t>
      </w:r>
      <w:r w:rsidR="00984E49">
        <w:rPr>
          <w:rFonts w:ascii="Times New Roman" w:hAnsi="Times New Roman" w:cs="Times New Roman"/>
        </w:rPr>
        <w:t xml:space="preserve"> </w:t>
      </w:r>
      <w:r w:rsidR="00172499">
        <w:rPr>
          <w:rFonts w:ascii="Times New Roman" w:hAnsi="Times New Roman" w:cs="Times New Roman"/>
        </w:rPr>
        <w:t>destiny</w:t>
      </w:r>
      <w:r w:rsidR="00984E49">
        <w:rPr>
          <w:rFonts w:ascii="Times New Roman" w:hAnsi="Times New Roman" w:cs="Times New Roman"/>
        </w:rPr>
        <w:t xml:space="preserve">. The rock still stands, but the sea treats it with </w:t>
      </w:r>
      <w:r w:rsidR="000C080D">
        <w:rPr>
          <w:rFonts w:ascii="Times New Roman" w:hAnsi="Times New Roman" w:cs="Times New Roman"/>
        </w:rPr>
        <w:t>disdain</w:t>
      </w:r>
      <w:r w:rsidR="00984E49">
        <w:rPr>
          <w:rFonts w:ascii="Times New Roman" w:hAnsi="Times New Roman" w:cs="Times New Roman"/>
        </w:rPr>
        <w:t>.</w:t>
      </w:r>
    </w:p>
    <w:sectPr w:rsidR="009F40D6" w:rsidRPr="00984E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2674" w14:textId="77777777" w:rsidR="00004E87" w:rsidRDefault="00004E87" w:rsidP="0084002E">
      <w:pPr>
        <w:spacing w:after="0" w:line="240" w:lineRule="auto"/>
      </w:pPr>
      <w:r>
        <w:separator/>
      </w:r>
    </w:p>
  </w:endnote>
  <w:endnote w:type="continuationSeparator" w:id="0">
    <w:p w14:paraId="5C7EE381" w14:textId="77777777" w:rsidR="00004E87" w:rsidRDefault="00004E87" w:rsidP="0084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ptos Display">
    <w:altName w:val="Cambria"/>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C716" w14:textId="77777777" w:rsidR="00004E87" w:rsidRDefault="00004E87" w:rsidP="0084002E">
      <w:pPr>
        <w:spacing w:after="0" w:line="240" w:lineRule="auto"/>
      </w:pPr>
      <w:r>
        <w:separator/>
      </w:r>
    </w:p>
  </w:footnote>
  <w:footnote w:type="continuationSeparator" w:id="0">
    <w:p w14:paraId="7AFFD0A7" w14:textId="77777777" w:rsidR="00004E87" w:rsidRDefault="00004E87" w:rsidP="0084002E">
      <w:pPr>
        <w:spacing w:after="0" w:line="240" w:lineRule="auto"/>
      </w:pPr>
      <w:r>
        <w:continuationSeparator/>
      </w:r>
    </w:p>
  </w:footnote>
  <w:footnote w:id="1">
    <w:p w14:paraId="7A6DA3EF" w14:textId="528E0481" w:rsidR="001E65D1" w:rsidRPr="00F556DE" w:rsidRDefault="001E65D1" w:rsidP="00D65411">
      <w:pPr>
        <w:pStyle w:val="aa"/>
        <w:rPr>
          <w:rFonts w:ascii="Times New Roman" w:hAnsi="Times New Roman" w:cs="Times New Roman"/>
        </w:rPr>
      </w:pPr>
      <w:r w:rsidRPr="00F556DE">
        <w:rPr>
          <w:rFonts w:ascii="Times New Roman" w:hAnsi="Times New Roman" w:cs="Times New Roman"/>
        </w:rPr>
        <w:t>* KC (hon), FBA, Senior Research Fellow, Commercial Law Centre, Harris Manchester College, Oxford and ECGI.</w:t>
      </w:r>
    </w:p>
    <w:p w14:paraId="1DCEA92C" w14:textId="657FFF2F" w:rsidR="00D65411" w:rsidRPr="00F556DE" w:rsidRDefault="00D65411" w:rsidP="00D65411">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[1990] Ch 433.</w:t>
      </w:r>
    </w:p>
  </w:footnote>
  <w:footnote w:id="2">
    <w:p w14:paraId="1C3CC465" w14:textId="77777777" w:rsidR="00D65411" w:rsidRPr="00F556DE" w:rsidRDefault="00D65411" w:rsidP="00D65411">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[1896] AC 22.</w:t>
      </w:r>
    </w:p>
  </w:footnote>
  <w:footnote w:id="3">
    <w:p w14:paraId="5F2E3B78" w14:textId="77777777" w:rsidR="000633C1" w:rsidRPr="00F556DE" w:rsidRDefault="000633C1" w:rsidP="000633C1">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The origin of this phrase has been attributed to I. Maurice Wormser, “Piercing the Veil of Corporate Entities” (1912) 12 </w:t>
      </w:r>
      <w:r w:rsidRPr="00F556DE">
        <w:rPr>
          <w:rFonts w:ascii="Times New Roman" w:hAnsi="Times New Roman" w:cs="Times New Roman"/>
          <w:i/>
          <w:iCs/>
        </w:rPr>
        <w:t xml:space="preserve">Columbia Law Review </w:t>
      </w:r>
      <w:r w:rsidRPr="00F556DE">
        <w:rPr>
          <w:rFonts w:ascii="Times New Roman" w:hAnsi="Times New Roman" w:cs="Times New Roman"/>
        </w:rPr>
        <w:t>496.</w:t>
      </w:r>
    </w:p>
  </w:footnote>
  <w:footnote w:id="4">
    <w:p w14:paraId="46A62A67" w14:textId="409DC65A" w:rsidR="00FB1DAA" w:rsidRPr="00FB1DAA" w:rsidRDefault="00FB1DAA">
      <w:pPr>
        <w:pStyle w:val="aa"/>
        <w:rPr>
          <w:rFonts w:ascii="Times New Roman" w:hAnsi="Times New Roman" w:cs="Times New Roman"/>
        </w:rPr>
      </w:pPr>
      <w:r>
        <w:rPr>
          <w:rStyle w:val="ab"/>
        </w:rPr>
        <w:footnoteRef/>
      </w:r>
      <w:r>
        <w:t xml:space="preserve"> </w:t>
      </w:r>
      <w:r>
        <w:rPr>
          <w:rFonts w:ascii="Times New Roman" w:hAnsi="Times New Roman" w:cs="Times New Roman"/>
        </w:rPr>
        <w:t xml:space="preserve">This </w:t>
      </w:r>
      <w:r w:rsidR="004E15E8">
        <w:rPr>
          <w:rFonts w:ascii="Times New Roman" w:hAnsi="Times New Roman" w:cs="Times New Roman"/>
        </w:rPr>
        <w:t>article</w:t>
      </w:r>
      <w:r>
        <w:rPr>
          <w:rFonts w:ascii="Times New Roman" w:hAnsi="Times New Roman" w:cs="Times New Roman"/>
        </w:rPr>
        <w:t xml:space="preserve"> confines itself to shareholders.</w:t>
      </w:r>
    </w:p>
  </w:footnote>
  <w:footnote w:id="5">
    <w:p w14:paraId="21905CC6" w14:textId="5C1153D5" w:rsidR="00F12169" w:rsidRPr="00F556DE" w:rsidRDefault="00F12169" w:rsidP="00F12169">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It would be necessary, presumably, to introduce a provision allowing companies opt into a regime of unlimited liability (for those few companies which find it useful), though unlimited liability would no longer be the default.</w:t>
      </w:r>
    </w:p>
  </w:footnote>
  <w:footnote w:id="6">
    <w:p w14:paraId="3DCEA479" w14:textId="32A9A536" w:rsidR="00BB2DFF" w:rsidRPr="00F556DE" w:rsidRDefault="00BB2DFF">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For example, Delaware General Corporation Law, §102(b)(6) (limited liability) and §106 (separate legal personality); Commercial Code of Japan, art. 54.1 (separate legal personality) and art. 200 (limited liability)</w:t>
      </w:r>
    </w:p>
  </w:footnote>
  <w:footnote w:id="7">
    <w:p w14:paraId="394D49D0" w14:textId="21C6788D" w:rsidR="00A70602" w:rsidRPr="00F556DE" w:rsidRDefault="00A70602">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For example, </w:t>
      </w:r>
      <w:proofErr w:type="spellStart"/>
      <w:r w:rsidRPr="00F556DE">
        <w:rPr>
          <w:rFonts w:ascii="Times New Roman" w:hAnsi="Times New Roman" w:cs="Times New Roman"/>
          <w:i/>
          <w:iCs/>
        </w:rPr>
        <w:t>Trebanog</w:t>
      </w:r>
      <w:proofErr w:type="spellEnd"/>
      <w:r w:rsidRPr="00F556DE">
        <w:rPr>
          <w:rFonts w:ascii="Times New Roman" w:hAnsi="Times New Roman" w:cs="Times New Roman"/>
          <w:i/>
          <w:iCs/>
        </w:rPr>
        <w:t xml:space="preserve"> Working Men's Club and Institute Ltd v Macdonald</w:t>
      </w:r>
      <w:r w:rsidRPr="00F556DE">
        <w:rPr>
          <w:rFonts w:ascii="Times New Roman" w:hAnsi="Times New Roman" w:cs="Times New Roman"/>
        </w:rPr>
        <w:t> [1940] 1 KB 576 – breach of the liquor licensing laws.</w:t>
      </w:r>
    </w:p>
  </w:footnote>
  <w:footnote w:id="8">
    <w:p w14:paraId="3B40E8A4" w14:textId="3DA753F7" w:rsidR="003C506E" w:rsidRPr="00F556DE" w:rsidRDefault="003C506E" w:rsidP="003C506E">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L C B Gower, </w:t>
      </w:r>
      <w:r w:rsidRPr="00F556DE">
        <w:rPr>
          <w:rFonts w:ascii="Times New Roman" w:hAnsi="Times New Roman" w:cs="Times New Roman"/>
          <w:i/>
          <w:iCs/>
        </w:rPr>
        <w:t>Principles of Modern Company Law</w:t>
      </w:r>
      <w:r w:rsidRPr="00F556DE">
        <w:rPr>
          <w:rFonts w:ascii="Times New Roman" w:hAnsi="Times New Roman" w:cs="Times New Roman"/>
        </w:rPr>
        <w:t>, 5</w:t>
      </w:r>
      <w:r w:rsidRPr="00F556DE">
        <w:rPr>
          <w:rFonts w:ascii="Times New Roman" w:hAnsi="Times New Roman" w:cs="Times New Roman"/>
          <w:vertAlign w:val="superscript"/>
        </w:rPr>
        <w:t>th</w:t>
      </w:r>
      <w:r w:rsidRPr="00F556DE">
        <w:rPr>
          <w:rFonts w:ascii="Times New Roman" w:hAnsi="Times New Roman" w:cs="Times New Roman"/>
        </w:rPr>
        <w:t xml:space="preserve"> ed, 1992, p 93, </w:t>
      </w:r>
      <w:proofErr w:type="spellStart"/>
      <w:r w:rsidRPr="00F556DE">
        <w:rPr>
          <w:rFonts w:ascii="Times New Roman" w:hAnsi="Times New Roman" w:cs="Times New Roman"/>
        </w:rPr>
        <w:t>fn</w:t>
      </w:r>
      <w:proofErr w:type="spellEnd"/>
      <w:r w:rsidRPr="00F556DE">
        <w:rPr>
          <w:rFonts w:ascii="Times New Roman" w:hAnsi="Times New Roman" w:cs="Times New Roman"/>
        </w:rPr>
        <w:t xml:space="preserve"> 42.</w:t>
      </w:r>
    </w:p>
  </w:footnote>
  <w:footnote w:id="9">
    <w:p w14:paraId="7074D395" w14:textId="12FD37A5" w:rsidR="00385247" w:rsidRPr="00F556DE" w:rsidRDefault="00385247">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r w:rsidRPr="00F556DE">
        <w:rPr>
          <w:rFonts w:ascii="Times New Roman" w:hAnsi="Times New Roman" w:cs="Times New Roman"/>
          <w:i/>
          <w:iCs/>
        </w:rPr>
        <w:t xml:space="preserve">Woolfson v Strathclyde Regional Council </w:t>
      </w:r>
      <w:r w:rsidRPr="00F556DE">
        <w:rPr>
          <w:rFonts w:ascii="Times New Roman" w:hAnsi="Times New Roman" w:cs="Times New Roman"/>
        </w:rPr>
        <w:t>1978 SLT 159 – this was the position of Solfred Ltd in that case.</w:t>
      </w:r>
    </w:p>
  </w:footnote>
  <w:footnote w:id="10">
    <w:p w14:paraId="4F02DF96" w14:textId="218B3A80" w:rsidR="00DD05E0" w:rsidRPr="00F556DE" w:rsidRDefault="00DD05E0" w:rsidP="00CD54AA">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r w:rsidR="00B621CD" w:rsidRPr="00F556DE">
        <w:rPr>
          <w:rFonts w:ascii="Times New Roman" w:hAnsi="Times New Roman" w:cs="Times New Roman"/>
        </w:rPr>
        <w:t xml:space="preserve">[1989] Ch 72 at 176. </w:t>
      </w:r>
    </w:p>
  </w:footnote>
  <w:footnote w:id="11">
    <w:p w14:paraId="7575D3E5" w14:textId="2845A69E" w:rsidR="00C246F4" w:rsidRPr="00C246F4" w:rsidRDefault="00C246F4">
      <w:pPr>
        <w:pStyle w:val="aa"/>
        <w:rPr>
          <w:rFonts w:ascii="Times New Roman" w:hAnsi="Times New Roman" w:cs="Times New Roman"/>
        </w:rPr>
      </w:pPr>
      <w:r w:rsidRPr="00C246F4">
        <w:rPr>
          <w:rStyle w:val="ab"/>
          <w:rFonts w:ascii="Times New Roman" w:hAnsi="Times New Roman" w:cs="Times New Roman"/>
        </w:rPr>
        <w:footnoteRef/>
      </w:r>
      <w:r w:rsidRPr="00C246F4">
        <w:rPr>
          <w:rFonts w:ascii="Times New Roman" w:hAnsi="Times New Roman" w:cs="Times New Roman"/>
        </w:rPr>
        <w:t xml:space="preserve"> The International Tin Council (Immunities and Privileges) Order 1972 No 120.</w:t>
      </w:r>
    </w:p>
  </w:footnote>
  <w:footnote w:id="12">
    <w:p w14:paraId="1BA00658" w14:textId="25A4A855" w:rsidR="00723047" w:rsidRPr="00F556DE" w:rsidRDefault="00723047">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[1990] </w:t>
      </w:r>
      <w:r w:rsidR="007F1F42" w:rsidRPr="00F556DE">
        <w:rPr>
          <w:rFonts w:ascii="Times New Roman" w:hAnsi="Times New Roman" w:cs="Times New Roman"/>
        </w:rPr>
        <w:t>2 A C 418</w:t>
      </w:r>
      <w:r w:rsidRPr="00F556DE">
        <w:rPr>
          <w:rFonts w:ascii="Times New Roman" w:hAnsi="Times New Roman" w:cs="Times New Roman"/>
        </w:rPr>
        <w:t xml:space="preserve"> at </w:t>
      </w:r>
      <w:r w:rsidR="007F1F42" w:rsidRPr="00F556DE">
        <w:rPr>
          <w:rFonts w:ascii="Times New Roman" w:hAnsi="Times New Roman" w:cs="Times New Roman"/>
        </w:rPr>
        <w:t>511</w:t>
      </w:r>
      <w:r w:rsidRPr="00F556DE">
        <w:rPr>
          <w:rFonts w:ascii="Times New Roman" w:hAnsi="Times New Roman" w:cs="Times New Roman"/>
        </w:rPr>
        <w:t>.</w:t>
      </w:r>
    </w:p>
  </w:footnote>
  <w:footnote w:id="13">
    <w:p w14:paraId="0EF52698" w14:textId="59366B25" w:rsidR="00590ACF" w:rsidRPr="00F556DE" w:rsidRDefault="00590ACF">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In Scotland, the partnership is a legal </w:t>
      </w:r>
      <w:proofErr w:type="gramStart"/>
      <w:r w:rsidRPr="00F556DE">
        <w:rPr>
          <w:rFonts w:ascii="Times New Roman" w:hAnsi="Times New Roman" w:cs="Times New Roman"/>
        </w:rPr>
        <w:t>entity</w:t>
      </w:r>
      <w:proofErr w:type="gramEnd"/>
      <w:r w:rsidR="00BF36B1" w:rsidRPr="00F556DE">
        <w:rPr>
          <w:rFonts w:ascii="Times New Roman" w:hAnsi="Times New Roman" w:cs="Times New Roman"/>
        </w:rPr>
        <w:t xml:space="preserve"> but the partners are nevertheless liable for the firm’s debts (Partnership Act 1890, ss 4(2) and 9), though in this case the partner liability appears to predominate over the </w:t>
      </w:r>
      <w:proofErr w:type="gramStart"/>
      <w:r w:rsidR="00BF36B1" w:rsidRPr="00F556DE">
        <w:rPr>
          <w:rFonts w:ascii="Times New Roman" w:hAnsi="Times New Roman" w:cs="Times New Roman"/>
        </w:rPr>
        <w:t>firm’s</w:t>
      </w:r>
      <w:proofErr w:type="gramEnd"/>
      <w:r w:rsidR="00BF36B1" w:rsidRPr="00F556DE">
        <w:rPr>
          <w:rFonts w:ascii="Times New Roman" w:hAnsi="Times New Roman" w:cs="Times New Roman"/>
        </w:rPr>
        <w:t xml:space="preserve">. </w:t>
      </w:r>
    </w:p>
  </w:footnote>
  <w:footnote w:id="14">
    <w:p w14:paraId="379FC2A8" w14:textId="77777777" w:rsidR="004D6D5A" w:rsidRPr="00F556DE" w:rsidRDefault="004D6D5A" w:rsidP="004D6D5A">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[1896] AC 22.</w:t>
      </w:r>
    </w:p>
  </w:footnote>
  <w:footnote w:id="15">
    <w:p w14:paraId="6C78F1F8" w14:textId="7357F077" w:rsidR="006B091F" w:rsidRPr="006B091F" w:rsidRDefault="006B091F" w:rsidP="006B091F">
      <w:pPr>
        <w:pStyle w:val="aa"/>
        <w:jc w:val="both"/>
        <w:rPr>
          <w:rFonts w:ascii="Times New Roman" w:hAnsi="Times New Roman" w:cs="Times New Roman"/>
        </w:rPr>
      </w:pPr>
      <w:r>
        <w:rPr>
          <w:rStyle w:val="ab"/>
        </w:rPr>
        <w:footnoteRef/>
      </w:r>
      <w:r>
        <w:t xml:space="preserve"> </w:t>
      </w:r>
      <w:r>
        <w:rPr>
          <w:rFonts w:ascii="Times New Roman" w:hAnsi="Times New Roman" w:cs="Times New Roman"/>
        </w:rPr>
        <w:t xml:space="preserve">Thus, the editors of the current edition of </w:t>
      </w:r>
      <w:r>
        <w:rPr>
          <w:rFonts w:ascii="Times New Roman" w:hAnsi="Times New Roman" w:cs="Times New Roman"/>
          <w:i/>
          <w:iCs/>
        </w:rPr>
        <w:t xml:space="preserve">Palmer’s Company Law </w:t>
      </w:r>
      <w:r>
        <w:rPr>
          <w:rFonts w:ascii="Times New Roman" w:hAnsi="Times New Roman" w:cs="Times New Roman"/>
        </w:rPr>
        <w:t>state as follows in relation to an unlimited liability company</w:t>
      </w:r>
      <w:r w:rsidR="00EF0412">
        <w:rPr>
          <w:rFonts w:ascii="Times New Roman" w:hAnsi="Times New Roman" w:cs="Times New Roman"/>
        </w:rPr>
        <w:t>, comparing it with an ordinary partnership</w:t>
      </w:r>
      <w:r>
        <w:rPr>
          <w:rFonts w:ascii="Times New Roman" w:hAnsi="Times New Roman" w:cs="Times New Roman"/>
        </w:rPr>
        <w:t>: “</w:t>
      </w:r>
      <w:r w:rsidRPr="006B091F">
        <w:rPr>
          <w:rFonts w:ascii="Times New Roman" w:hAnsi="Times New Roman" w:cs="Times New Roman"/>
        </w:rPr>
        <w:t>Although the liability of the members of an unlimited company, like that of the partners of a partnership, is unlimited, the position of those members differs fundamentally from that of partners. The unlimited company is a legal person but the partnership in England has no corporate existence. Consequently, the partners are liable directly to the creditors of the partnership, but the members of the unlimited company are not liable to the company’s creditors who, if they sued the members for a debt incurred by this company, would be unsuccessful since the members could plead res inter alios acta</w:t>
      </w:r>
      <w:r>
        <w:rPr>
          <w:rFonts w:ascii="Times New Roman" w:hAnsi="Times New Roman" w:cs="Times New Roman"/>
        </w:rPr>
        <w:t xml:space="preserve"> </w:t>
      </w:r>
      <w:r w:rsidRPr="006B091F">
        <w:rPr>
          <w:rFonts w:ascii="Times New Roman" w:hAnsi="Times New Roman" w:cs="Times New Roman"/>
        </w:rPr>
        <w:t xml:space="preserve">. </w:t>
      </w:r>
      <w:r>
        <w:rPr>
          <w:rFonts w:ascii="Times New Roman" w:hAnsi="Times New Roman" w:cs="Times New Roman"/>
        </w:rPr>
        <w:t xml:space="preserve">. . </w:t>
      </w:r>
      <w:r w:rsidRPr="006B091F">
        <w:rPr>
          <w:rFonts w:ascii="Times New Roman" w:hAnsi="Times New Roman" w:cs="Times New Roman"/>
        </w:rPr>
        <w:t>If the creditors of the unlimited company cannot obtain payment from the company, they may petition the court for a winding-up order. The liquidator will then ask the members to contribute to the payment of the debts of the company and the costs of winding up, and the members are liable to do so without limitation of their liability.</w:t>
      </w:r>
      <w:r>
        <w:rPr>
          <w:rFonts w:ascii="Times New Roman" w:hAnsi="Times New Roman" w:cs="Times New Roman"/>
        </w:rPr>
        <w:t xml:space="preserve">” (June 2023 Revision, para </w:t>
      </w:r>
      <w:r w:rsidR="00EF0412">
        <w:rPr>
          <w:rFonts w:ascii="Times New Roman" w:hAnsi="Times New Roman" w:cs="Times New Roman"/>
        </w:rPr>
        <w:t xml:space="preserve">2.2024 </w:t>
      </w:r>
      <w:proofErr w:type="gramStart"/>
      <w:r w:rsidR="00EF0412">
        <w:rPr>
          <w:rFonts w:ascii="Times New Roman" w:hAnsi="Times New Roman" w:cs="Times New Roman"/>
        </w:rPr>
        <w:t>-  the</w:t>
      </w:r>
      <w:proofErr w:type="gramEnd"/>
      <w:r w:rsidR="00EF0412">
        <w:rPr>
          <w:rFonts w:ascii="Times New Roman" w:hAnsi="Times New Roman" w:cs="Times New Roman"/>
        </w:rPr>
        <w:t xml:space="preserve"> passage is far from a new addition to this work.)</w:t>
      </w:r>
    </w:p>
  </w:footnote>
  <w:footnote w:id="16">
    <w:p w14:paraId="50B6ED82" w14:textId="2F166BE6" w:rsidR="009C7319" w:rsidRPr="00F556DE" w:rsidRDefault="009C7319">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[1990] 2 A C 418 at 508.</w:t>
      </w:r>
      <w:r w:rsidR="00380752">
        <w:rPr>
          <w:rFonts w:ascii="Times New Roman" w:hAnsi="Times New Roman" w:cs="Times New Roman"/>
        </w:rPr>
        <w:t xml:space="preserve"> It is possible to read section XXV as embodying a requirement that the creditor first sue the company, so that the member would be liable only if the company did not meet the judgement. But the section clearly did not require the claimant to put the company into liquidation before suing the member.</w:t>
      </w:r>
    </w:p>
  </w:footnote>
  <w:footnote w:id="17">
    <w:p w14:paraId="70D1D1B2" w14:textId="4E3446BC" w:rsidR="00EB6C4B" w:rsidRPr="00F556DE" w:rsidRDefault="00EB6C4B">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Limited Liability Act 1855, s VII.</w:t>
      </w:r>
    </w:p>
  </w:footnote>
  <w:footnote w:id="18">
    <w:p w14:paraId="0441A55B" w14:textId="083CA858" w:rsidR="00E5074B" w:rsidRPr="00F556DE" w:rsidRDefault="00E5074B" w:rsidP="00BD413B">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Ibid s VIII.</w:t>
      </w:r>
    </w:p>
  </w:footnote>
  <w:footnote w:id="19">
    <w:p w14:paraId="20BDC738" w14:textId="2DCF0A09" w:rsidR="00AA5D11" w:rsidRPr="00F556DE" w:rsidRDefault="00AA5D11">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Companies Act 1862 s 18.</w:t>
      </w:r>
    </w:p>
  </w:footnote>
  <w:footnote w:id="20">
    <w:p w14:paraId="58994965" w14:textId="461B696D" w:rsidR="00377BD1" w:rsidRPr="00F556DE" w:rsidRDefault="00377BD1" w:rsidP="00807E7C">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Ibid.</w:t>
      </w:r>
    </w:p>
  </w:footnote>
  <w:footnote w:id="21">
    <w:p w14:paraId="6469145E" w14:textId="7A893638" w:rsidR="00807E7C" w:rsidRPr="00F556DE" w:rsidRDefault="00807E7C" w:rsidP="00807E7C">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We are so accustomed today to public companies issuing shares as fully paid (or at least with dates and amounts specified on issue for future calls) that we have lost sight of the use in the mid-nineteenth century of high nominal value shares with unspecified call dates. In such cases, limited liability did not mean no liability. This practice might be a way of pre-financing the later stages of a project or a way of giving some comfort to creditors. Either way, companies could choose between unlimited liability, full limited liability or something in between. See Ron Harris, “A new understanding of the history of limited liability: an invitation for theoretical reframing” (2020) 16 </w:t>
      </w:r>
      <w:r w:rsidRPr="00F556DE">
        <w:rPr>
          <w:rFonts w:ascii="Times New Roman" w:hAnsi="Times New Roman" w:cs="Times New Roman"/>
          <w:i/>
          <w:iCs/>
        </w:rPr>
        <w:t>Journal of Institutional Economics</w:t>
      </w:r>
      <w:r w:rsidRPr="00F556DE">
        <w:rPr>
          <w:rFonts w:ascii="Times New Roman" w:hAnsi="Times New Roman" w:cs="Times New Roman"/>
        </w:rPr>
        <w:t xml:space="preserve"> 643 at 654.</w:t>
      </w:r>
    </w:p>
  </w:footnote>
  <w:footnote w:id="22">
    <w:p w14:paraId="54800713" w14:textId="0E6383FA" w:rsidR="00377BD1" w:rsidRPr="00F556DE" w:rsidRDefault="00377BD1">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Companies Act 1948 s 13</w:t>
      </w:r>
      <w:r w:rsidR="00927749" w:rsidRPr="00F556DE">
        <w:rPr>
          <w:rFonts w:ascii="Times New Roman" w:hAnsi="Times New Roman" w:cs="Times New Roman"/>
        </w:rPr>
        <w:t>.</w:t>
      </w:r>
    </w:p>
  </w:footnote>
  <w:footnote w:id="23">
    <w:p w14:paraId="711B3E9F" w14:textId="1D8385D2" w:rsidR="00927749" w:rsidRPr="00F556DE" w:rsidRDefault="00927749">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Companies Act 1985 s 13(4).</w:t>
      </w:r>
    </w:p>
  </w:footnote>
  <w:footnote w:id="24">
    <w:p w14:paraId="76CBAD86" w14:textId="702BFF83" w:rsidR="00BC1023" w:rsidRPr="00F556DE" w:rsidRDefault="00BC1023">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Companies Act 2006 s 3, which does specify what is entailed in limitation by guarantee.</w:t>
      </w:r>
    </w:p>
  </w:footnote>
  <w:footnote w:id="25">
    <w:p w14:paraId="281C506D" w14:textId="3C8150BB" w:rsidR="002166B2" w:rsidRPr="00F556DE" w:rsidRDefault="002166B2">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r w:rsidR="00942002" w:rsidRPr="00F556DE">
        <w:rPr>
          <w:rFonts w:ascii="Times New Roman" w:hAnsi="Times New Roman" w:cs="Times New Roman"/>
        </w:rPr>
        <w:t>Henry Hansmann and Renier Kraakmen, “The Essential Role of Organizational Law” (2000-2001) 110 Yale L.J. 387.</w:t>
      </w:r>
    </w:p>
  </w:footnote>
  <w:footnote w:id="26">
    <w:p w14:paraId="6DEBEAFA" w14:textId="31C8E397" w:rsidR="0042135A" w:rsidRPr="00F556DE" w:rsidRDefault="0042135A">
      <w:pPr>
        <w:pStyle w:val="aa"/>
        <w:rPr>
          <w:rFonts w:ascii="Times New Roman" w:hAnsi="Times New Roman" w:cs="Times New Roman"/>
          <w:i/>
          <w:iCs/>
        </w:rPr>
      </w:pPr>
      <w:r w:rsidRPr="00F556DE">
        <w:rPr>
          <w:rStyle w:val="ab"/>
          <w:rFonts w:ascii="Times New Roman" w:hAnsi="Times New Roman" w:cs="Times New Roman"/>
        </w:rPr>
        <w:footnoteRef/>
      </w:r>
      <w:r w:rsidRPr="00F556DE">
        <w:rPr>
          <w:rFonts w:ascii="Times New Roman" w:hAnsi="Times New Roman" w:cs="Times New Roman"/>
        </w:rPr>
        <w:t xml:space="preserve"> Even in the limiting case where the member is a controlling shareholder, that control position does not feed through straightforwardly into a capacity to take decisions as shareholder which principally aim to benefit the member as debtor.</w:t>
      </w:r>
      <w:r w:rsidR="00A42E84" w:rsidRPr="00F556DE">
        <w:rPr>
          <w:rFonts w:ascii="Times New Roman" w:hAnsi="Times New Roman" w:cs="Times New Roman"/>
        </w:rPr>
        <w:t xml:space="preserve"> See </w:t>
      </w:r>
      <w:r w:rsidR="00A42E84" w:rsidRPr="00F556DE">
        <w:rPr>
          <w:rFonts w:ascii="Times New Roman" w:hAnsi="Times New Roman" w:cs="Times New Roman"/>
          <w:i/>
          <w:iCs/>
        </w:rPr>
        <w:t>Re Holders</w:t>
      </w:r>
    </w:p>
  </w:footnote>
  <w:footnote w:id="27">
    <w:p w14:paraId="42C1B188" w14:textId="778A44BA" w:rsidR="002166B2" w:rsidRPr="00F556DE" w:rsidRDefault="002166B2" w:rsidP="00942002">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Thus, two of the major proponents of the benefits of asset partitioning are of the view that limited liability should not operate against </w:t>
      </w:r>
      <w:r w:rsidR="007E4F6F" w:rsidRPr="00F556DE">
        <w:rPr>
          <w:rFonts w:ascii="Times New Roman" w:hAnsi="Times New Roman" w:cs="Times New Roman"/>
        </w:rPr>
        <w:t xml:space="preserve">most </w:t>
      </w:r>
      <w:r w:rsidRPr="00F556DE">
        <w:rPr>
          <w:rFonts w:ascii="Times New Roman" w:hAnsi="Times New Roman" w:cs="Times New Roman"/>
        </w:rPr>
        <w:t xml:space="preserve">tort victims: Henry Hansmann &amp; Renier </w:t>
      </w:r>
      <w:proofErr w:type="spellStart"/>
      <w:r w:rsidRPr="00F556DE">
        <w:rPr>
          <w:rFonts w:ascii="Times New Roman" w:hAnsi="Times New Roman" w:cs="Times New Roman"/>
        </w:rPr>
        <w:t>Kraakmann</w:t>
      </w:r>
      <w:proofErr w:type="spellEnd"/>
      <w:r w:rsidRPr="00F556DE">
        <w:rPr>
          <w:rFonts w:ascii="Times New Roman" w:hAnsi="Times New Roman" w:cs="Times New Roman"/>
        </w:rPr>
        <w:t xml:space="preserve"> “Toward Unlimited Shareholder Liability for Corporate Torts” (1991)100 </w:t>
      </w:r>
      <w:r w:rsidRPr="00F556DE">
        <w:rPr>
          <w:rFonts w:ascii="Times New Roman" w:hAnsi="Times New Roman" w:cs="Times New Roman"/>
          <w:i/>
          <w:iCs/>
        </w:rPr>
        <w:t>Yale</w:t>
      </w:r>
      <w:r w:rsidRPr="00F556DE">
        <w:rPr>
          <w:rFonts w:ascii="Times New Roman" w:hAnsi="Times New Roman" w:cs="Times New Roman"/>
        </w:rPr>
        <w:t xml:space="preserve"> L. J. 1987.</w:t>
      </w:r>
      <w:r w:rsidR="00942002" w:rsidRPr="00F556DE">
        <w:rPr>
          <w:rFonts w:ascii="Times New Roman" w:hAnsi="Times New Roman" w:cs="Times New Roman"/>
        </w:rPr>
        <w:t xml:space="preserve"> They would impose pro rata liability on all types of </w:t>
      </w:r>
      <w:proofErr w:type="gramStart"/>
      <w:r w:rsidR="00942002" w:rsidRPr="00F556DE">
        <w:rPr>
          <w:rFonts w:ascii="Times New Roman" w:hAnsi="Times New Roman" w:cs="Times New Roman"/>
        </w:rPr>
        <w:t>shareholder</w:t>
      </w:r>
      <w:proofErr w:type="gramEnd"/>
      <w:r w:rsidR="00942002" w:rsidRPr="00F556DE">
        <w:rPr>
          <w:rFonts w:ascii="Times New Roman" w:hAnsi="Times New Roman" w:cs="Times New Roman"/>
        </w:rPr>
        <w:t>.</w:t>
      </w:r>
    </w:p>
  </w:footnote>
  <w:footnote w:id="28">
    <w:p w14:paraId="46FB8943" w14:textId="2442CF8D" w:rsidR="000E588F" w:rsidRPr="00F556DE" w:rsidRDefault="000E588F">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 second defendant in the Texas litigation was another English company (</w:t>
      </w:r>
      <w:proofErr w:type="spellStart"/>
      <w:r w:rsidRPr="00F556DE">
        <w:rPr>
          <w:rFonts w:ascii="Times New Roman" w:hAnsi="Times New Roman" w:cs="Times New Roman"/>
        </w:rPr>
        <w:t>Capasco</w:t>
      </w:r>
      <w:proofErr w:type="spellEnd"/>
      <w:r w:rsidRPr="00F556DE">
        <w:rPr>
          <w:rFonts w:ascii="Times New Roman" w:hAnsi="Times New Roman" w:cs="Times New Roman"/>
        </w:rPr>
        <w:t xml:space="preserve">), a subsidiary of Cape, which was the worldwide marketing agent for the asbestos. However, there is no need in this account to treat it separately from Cape plc, </w:t>
      </w:r>
      <w:proofErr w:type="gramStart"/>
      <w:r w:rsidRPr="00F556DE">
        <w:rPr>
          <w:rFonts w:ascii="Times New Roman" w:hAnsi="Times New Roman" w:cs="Times New Roman"/>
        </w:rPr>
        <w:t>since,</w:t>
      </w:r>
      <w:proofErr w:type="gramEnd"/>
      <w:r w:rsidRPr="00F556DE">
        <w:rPr>
          <w:rFonts w:ascii="Times New Roman" w:hAnsi="Times New Roman" w:cs="Times New Roman"/>
        </w:rPr>
        <w:t xml:space="preserve"> as will appear below, marketing in the US was carried out by other companies.</w:t>
      </w:r>
    </w:p>
  </w:footnote>
  <w:footnote w:id="29">
    <w:p w14:paraId="3791655E" w14:textId="6676DFD8" w:rsidR="00AA1A05" w:rsidRPr="00F556DE" w:rsidRDefault="00AA1A05">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Assuming the defendant had not submitted voluntarily to the jurisdiction of the Texas court which, on the facts, the court found </w:t>
      </w:r>
      <w:r w:rsidR="00151969" w:rsidRPr="00F556DE">
        <w:rPr>
          <w:rFonts w:ascii="Times New Roman" w:hAnsi="Times New Roman" w:cs="Times New Roman"/>
        </w:rPr>
        <w:t xml:space="preserve">that in the relevant litigation </w:t>
      </w:r>
      <w:r w:rsidRPr="00F556DE">
        <w:rPr>
          <w:rFonts w:ascii="Times New Roman" w:hAnsi="Times New Roman" w:cs="Times New Roman"/>
        </w:rPr>
        <w:t>it had not.</w:t>
      </w:r>
    </w:p>
  </w:footnote>
  <w:footnote w:id="30">
    <w:p w14:paraId="484975DF" w14:textId="0C90D7F1" w:rsidR="00236615" w:rsidRPr="00F556DE" w:rsidRDefault="00236615">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r w:rsidR="00E12C04" w:rsidRPr="00F556DE">
        <w:rPr>
          <w:rFonts w:ascii="Times New Roman" w:hAnsi="Times New Roman" w:cs="Times New Roman"/>
        </w:rPr>
        <w:t>[1990] Ch 433 a</w:t>
      </w:r>
      <w:r w:rsidR="00913203" w:rsidRPr="00F556DE">
        <w:rPr>
          <w:rFonts w:ascii="Times New Roman" w:hAnsi="Times New Roman" w:cs="Times New Roman"/>
        </w:rPr>
        <w:t>t 530.</w:t>
      </w:r>
    </w:p>
  </w:footnote>
  <w:footnote w:id="31">
    <w:p w14:paraId="387675BC" w14:textId="292A2039" w:rsidR="0020058F" w:rsidRPr="00F556DE" w:rsidRDefault="0020058F">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See n </w:t>
      </w:r>
      <w:r w:rsidR="004571D3">
        <w:rPr>
          <w:rFonts w:ascii="Times New Roman" w:hAnsi="Times New Roman" w:cs="Times New Roman"/>
        </w:rPr>
        <w:t>28</w:t>
      </w:r>
      <w:r w:rsidRPr="00F556DE">
        <w:rPr>
          <w:rFonts w:ascii="Times New Roman" w:hAnsi="Times New Roman" w:cs="Times New Roman"/>
        </w:rPr>
        <w:t xml:space="preserve"> above.</w:t>
      </w:r>
    </w:p>
  </w:footnote>
  <w:footnote w:id="32">
    <w:p w14:paraId="67CD1592" w14:textId="7C386529" w:rsidR="00E12C04" w:rsidRPr="00F556DE" w:rsidRDefault="00E12C04">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The Court of Appeal was “inclined to favour” the view that, as a matter of English law, Cape plc was not present in Texas even if, contrary to its view, the company was present in Illinois: at 557.</w:t>
      </w:r>
    </w:p>
  </w:footnote>
  <w:footnote w:id="33">
    <w:p w14:paraId="2EB6156F" w14:textId="6051FC0C" w:rsidR="00A2567E" w:rsidRPr="00F556DE" w:rsidRDefault="00A2567E" w:rsidP="00B80F50">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It might be said that Cape plc need not have settled, but, if the other defendants were willing to, Cape faced the prospect of being the </w:t>
      </w:r>
      <w:r w:rsidR="00417AE4" w:rsidRPr="00F556DE">
        <w:rPr>
          <w:rFonts w:ascii="Times New Roman" w:hAnsi="Times New Roman" w:cs="Times New Roman"/>
        </w:rPr>
        <w:t>sole</w:t>
      </w:r>
      <w:r w:rsidRPr="00F556DE">
        <w:rPr>
          <w:rFonts w:ascii="Times New Roman" w:hAnsi="Times New Roman" w:cs="Times New Roman"/>
        </w:rPr>
        <w:t xml:space="preserve"> defendant in an expensive trial presided over by a judge who </w:t>
      </w:r>
      <w:proofErr w:type="gramStart"/>
      <w:r w:rsidRPr="00F556DE">
        <w:rPr>
          <w:rFonts w:ascii="Times New Roman" w:hAnsi="Times New Roman" w:cs="Times New Roman"/>
        </w:rPr>
        <w:t>had  clearly</w:t>
      </w:r>
      <w:proofErr w:type="gramEnd"/>
      <w:r w:rsidRPr="00F556DE">
        <w:rPr>
          <w:rFonts w:ascii="Times New Roman" w:hAnsi="Times New Roman" w:cs="Times New Roman"/>
        </w:rPr>
        <w:t xml:space="preserve"> indicated that he thought settlement appropriate.</w:t>
      </w:r>
    </w:p>
  </w:footnote>
  <w:footnote w:id="34">
    <w:p w14:paraId="05FF69D2" w14:textId="5CB61E92" w:rsidR="00417AE4" w:rsidRPr="00F556DE" w:rsidRDefault="00417AE4" w:rsidP="007D56B5">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The Court of Appeal, even if wrong on the “presence” point, would not have enforced the Texas judgement on the grounds that the process which led to the assessment of the damages against the defendants involved a</w:t>
      </w:r>
      <w:r w:rsidR="007D56B5">
        <w:rPr>
          <w:rFonts w:ascii="Times New Roman" w:hAnsi="Times New Roman" w:cs="Times New Roman"/>
        </w:rPr>
        <w:t xml:space="preserve"> </w:t>
      </w:r>
      <w:r w:rsidRPr="00F556DE">
        <w:rPr>
          <w:rFonts w:ascii="Times New Roman" w:hAnsi="Times New Roman" w:cs="Times New Roman"/>
        </w:rPr>
        <w:t>breach of natural justice: at 572.</w:t>
      </w:r>
    </w:p>
  </w:footnote>
  <w:footnote w:id="35">
    <w:p w14:paraId="4B9E31EF" w14:textId="4086EA3B" w:rsidR="00DC5D6A" w:rsidRPr="00F556DE" w:rsidRDefault="00DC5D6A" w:rsidP="00236615">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r w:rsidR="00236615" w:rsidRPr="00F556DE">
        <w:rPr>
          <w:rFonts w:ascii="Times New Roman" w:hAnsi="Times New Roman" w:cs="Times New Roman"/>
        </w:rPr>
        <w:t xml:space="preserve">The funding of this litigation came about in a somewhat murky way. </w:t>
      </w:r>
      <w:r w:rsidRPr="00F556DE">
        <w:rPr>
          <w:rFonts w:ascii="Times New Roman" w:hAnsi="Times New Roman" w:cs="Times New Roman"/>
        </w:rPr>
        <w:t xml:space="preserve">The defendants in the second </w:t>
      </w:r>
      <w:r w:rsidR="00CE4AC1" w:rsidRPr="00F556DE">
        <w:rPr>
          <w:rFonts w:ascii="Times New Roman" w:hAnsi="Times New Roman" w:cs="Times New Roman"/>
        </w:rPr>
        <w:t>round</w:t>
      </w:r>
      <w:r w:rsidRPr="00F556DE">
        <w:rPr>
          <w:rFonts w:ascii="Times New Roman" w:hAnsi="Times New Roman" w:cs="Times New Roman"/>
        </w:rPr>
        <w:t xml:space="preserve"> of litigation </w:t>
      </w:r>
      <w:r w:rsidR="0036393D" w:rsidRPr="00F556DE">
        <w:rPr>
          <w:rFonts w:ascii="Times New Roman" w:hAnsi="Times New Roman" w:cs="Times New Roman"/>
        </w:rPr>
        <w:t>included the US government</w:t>
      </w:r>
      <w:r w:rsidR="00236615" w:rsidRPr="00F556DE">
        <w:rPr>
          <w:rFonts w:ascii="Times New Roman" w:hAnsi="Times New Roman" w:cs="Times New Roman"/>
        </w:rPr>
        <w:t>, against which the defendants ha</w:t>
      </w:r>
      <w:r w:rsidR="00417AE4" w:rsidRPr="00F556DE">
        <w:rPr>
          <w:rFonts w:ascii="Times New Roman" w:hAnsi="Times New Roman" w:cs="Times New Roman"/>
        </w:rPr>
        <w:t>d</w:t>
      </w:r>
      <w:r w:rsidR="00236615" w:rsidRPr="00F556DE">
        <w:rPr>
          <w:rFonts w:ascii="Times New Roman" w:hAnsi="Times New Roman" w:cs="Times New Roman"/>
        </w:rPr>
        <w:t xml:space="preserve"> an arguable third-party claim</w:t>
      </w:r>
      <w:r w:rsidR="0036393D" w:rsidRPr="00F556DE">
        <w:rPr>
          <w:rFonts w:ascii="Times New Roman" w:hAnsi="Times New Roman" w:cs="Times New Roman"/>
        </w:rPr>
        <w:t>.</w:t>
      </w:r>
      <w:r w:rsidRPr="00F556DE">
        <w:rPr>
          <w:rFonts w:ascii="Times New Roman" w:hAnsi="Times New Roman" w:cs="Times New Roman"/>
        </w:rPr>
        <w:t xml:space="preserve"> The US was unwilling to make any substantive contribution to the compensation amounts, but it did agree, in negotiations led by the </w:t>
      </w:r>
      <w:r w:rsidRPr="00F556DE">
        <w:rPr>
          <w:rFonts w:ascii="Times New Roman" w:hAnsi="Times New Roman" w:cs="Times New Roman"/>
          <w:i/>
          <w:iCs/>
        </w:rPr>
        <w:t xml:space="preserve">plaintiffs’ </w:t>
      </w:r>
      <w:r w:rsidRPr="00F556DE">
        <w:rPr>
          <w:rFonts w:ascii="Times New Roman" w:hAnsi="Times New Roman" w:cs="Times New Roman"/>
        </w:rPr>
        <w:t>counsel, to settle th</w:t>
      </w:r>
      <w:r w:rsidR="0036393D" w:rsidRPr="00F556DE">
        <w:rPr>
          <w:rFonts w:ascii="Times New Roman" w:hAnsi="Times New Roman" w:cs="Times New Roman"/>
        </w:rPr>
        <w:t>e</w:t>
      </w:r>
      <w:r w:rsidRPr="00F556DE">
        <w:rPr>
          <w:rFonts w:ascii="Times New Roman" w:hAnsi="Times New Roman" w:cs="Times New Roman"/>
        </w:rPr>
        <w:t xml:space="preserve"> claims </w:t>
      </w:r>
      <w:r w:rsidR="0036393D" w:rsidRPr="00F556DE">
        <w:rPr>
          <w:rFonts w:ascii="Times New Roman" w:hAnsi="Times New Roman" w:cs="Times New Roman"/>
        </w:rPr>
        <w:t xml:space="preserve">against it </w:t>
      </w:r>
      <w:r w:rsidRPr="00F556DE">
        <w:rPr>
          <w:rFonts w:ascii="Times New Roman" w:hAnsi="Times New Roman" w:cs="Times New Roman"/>
        </w:rPr>
        <w:t>by funding the enforcement of the default judgement against Cape plc in England.</w:t>
      </w:r>
    </w:p>
  </w:footnote>
  <w:footnote w:id="36">
    <w:p w14:paraId="21785110" w14:textId="4E1C7F14" w:rsidR="00D076BE" w:rsidRPr="00F556DE" w:rsidRDefault="00D076BE">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However, the Court of Appeal decision </w:t>
      </w:r>
      <w:r w:rsidR="003C0FA4" w:rsidRPr="00F556DE">
        <w:rPr>
          <w:rFonts w:ascii="Times New Roman" w:hAnsi="Times New Roman" w:cs="Times New Roman"/>
        </w:rPr>
        <w:t>suggests</w:t>
      </w:r>
      <w:r w:rsidRPr="00F556DE">
        <w:rPr>
          <w:rFonts w:ascii="Times New Roman" w:hAnsi="Times New Roman" w:cs="Times New Roman"/>
        </w:rPr>
        <w:t xml:space="preserve"> that AMC had a pre-emption right over the shares if Mr Morgan sought to dispose of them: at 539.</w:t>
      </w:r>
    </w:p>
  </w:footnote>
  <w:footnote w:id="37">
    <w:p w14:paraId="3F95C9E7" w14:textId="60940272" w:rsidR="00637CB8" w:rsidRPr="00F556DE" w:rsidRDefault="00637CB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479.</w:t>
      </w:r>
    </w:p>
  </w:footnote>
  <w:footnote w:id="38">
    <w:p w14:paraId="3675CC9F" w14:textId="54D22F17" w:rsidR="007F4C93" w:rsidRPr="00F556DE" w:rsidRDefault="007F4C93">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543.</w:t>
      </w:r>
    </w:p>
  </w:footnote>
  <w:footnote w:id="39">
    <w:p w14:paraId="1BAB02B7" w14:textId="5BD24987" w:rsidR="00C906DC" w:rsidRPr="00F556DE" w:rsidRDefault="00C906DC">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541.</w:t>
      </w:r>
    </w:p>
  </w:footnote>
  <w:footnote w:id="40">
    <w:p w14:paraId="245952CD" w14:textId="387B120D" w:rsidR="009B3CE2" w:rsidRPr="00F556DE" w:rsidRDefault="009B3CE2">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532.</w:t>
      </w:r>
    </w:p>
  </w:footnote>
  <w:footnote w:id="41">
    <w:p w14:paraId="7DAD068B" w14:textId="1A328A58" w:rsidR="006A5281" w:rsidRPr="00F556DE" w:rsidRDefault="006A5281">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547.</w:t>
      </w:r>
    </w:p>
  </w:footnote>
  <w:footnote w:id="42">
    <w:p w14:paraId="61C5B805" w14:textId="642AA00A" w:rsidR="003F1447" w:rsidRPr="00F556DE" w:rsidRDefault="003F1447">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537.</w:t>
      </w:r>
    </w:p>
  </w:footnote>
  <w:footnote w:id="43">
    <w:p w14:paraId="22390D62" w14:textId="7C0ED3BF" w:rsidR="004A603B" w:rsidRPr="00F556DE" w:rsidRDefault="004A603B" w:rsidP="004A11B8">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Or almost so. On the one hand, there was an agency agreement between AMC and CPC, but not one which gave CPC authority to bind the Cape group to third parties and, on the other, CPC was not a subsidiary of Cape plc but an independently owned company.</w:t>
      </w:r>
    </w:p>
  </w:footnote>
  <w:footnote w:id="44">
    <w:p w14:paraId="694D2FF2" w14:textId="2F1A0EBE" w:rsidR="00124683" w:rsidRPr="00F556DE" w:rsidRDefault="00124683">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544.</w:t>
      </w:r>
    </w:p>
  </w:footnote>
  <w:footnote w:id="45">
    <w:p w14:paraId="2C61E85F" w14:textId="380BF52D" w:rsidR="00124683" w:rsidRPr="00F556DE" w:rsidRDefault="00124683">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Ibid.</w:t>
      </w:r>
    </w:p>
  </w:footnote>
  <w:footnote w:id="46">
    <w:p w14:paraId="182054CE" w14:textId="77777777" w:rsidR="002C0E59" w:rsidRPr="00F556DE" w:rsidRDefault="002C0E59" w:rsidP="002C0E59">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r w:rsidRPr="00F556DE">
        <w:rPr>
          <w:rFonts w:ascii="Times New Roman" w:hAnsi="Times New Roman" w:cs="Times New Roman"/>
          <w:i/>
          <w:iCs/>
        </w:rPr>
        <w:t xml:space="preserve">Craig v Lake Asbestos of Quebec Ltd </w:t>
      </w:r>
      <w:r w:rsidRPr="00F556DE">
        <w:rPr>
          <w:rFonts w:ascii="Times New Roman" w:hAnsi="Times New Roman" w:cs="Times New Roman"/>
        </w:rPr>
        <w:t>843 F 2d 145 (1988).</w:t>
      </w:r>
    </w:p>
  </w:footnote>
  <w:footnote w:id="47">
    <w:p w14:paraId="01806BBF" w14:textId="5F0AD682" w:rsidR="00454F2D" w:rsidRPr="00F556DE" w:rsidRDefault="00454F2D">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[2013] UKSC 34.</w:t>
      </w:r>
    </w:p>
  </w:footnote>
  <w:footnote w:id="48">
    <w:p w14:paraId="75809228" w14:textId="55219717" w:rsidR="00454F2D" w:rsidRPr="00F556DE" w:rsidRDefault="00454F2D">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[21].</w:t>
      </w:r>
    </w:p>
  </w:footnote>
  <w:footnote w:id="49">
    <w:p w14:paraId="5D4A8058" w14:textId="2EB66B4B" w:rsidR="00454F2D" w:rsidRPr="00F556DE" w:rsidRDefault="00454F2D">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[21] and [23].</w:t>
      </w:r>
    </w:p>
  </w:footnote>
  <w:footnote w:id="50">
    <w:p w14:paraId="676DF8EF" w14:textId="110616C2" w:rsidR="00160C81" w:rsidRPr="00F556DE" w:rsidRDefault="00160C81">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[23]. This was in the context of criticising the Family Law Division judges for having ignored </w:t>
      </w:r>
      <w:r w:rsidRPr="00F556DE">
        <w:rPr>
          <w:rFonts w:ascii="Times New Roman" w:hAnsi="Times New Roman" w:cs="Times New Roman"/>
          <w:i/>
          <w:iCs/>
        </w:rPr>
        <w:t xml:space="preserve">Adams </w:t>
      </w:r>
      <w:r w:rsidRPr="00F556DE">
        <w:rPr>
          <w:rFonts w:ascii="Times New Roman" w:hAnsi="Times New Roman" w:cs="Times New Roman"/>
        </w:rPr>
        <w:t xml:space="preserve">from the early 1990s onwards </w:t>
      </w:r>
      <w:proofErr w:type="gramStart"/>
      <w:r w:rsidRPr="00F556DE">
        <w:rPr>
          <w:rFonts w:ascii="Times New Roman" w:hAnsi="Times New Roman" w:cs="Times New Roman"/>
        </w:rPr>
        <w:t>on the basis of</w:t>
      </w:r>
      <w:proofErr w:type="gramEnd"/>
      <w:r w:rsidRPr="00F556DE">
        <w:rPr>
          <w:rFonts w:ascii="Times New Roman" w:hAnsi="Times New Roman" w:cs="Times New Roman"/>
        </w:rPr>
        <w:t xml:space="preserve"> s 24(1)(a) of the Matrimonial Causes Act 1973, which, the Supreme Court held, did not give them authority to do so.</w:t>
      </w:r>
    </w:p>
  </w:footnote>
  <w:footnote w:id="51">
    <w:p w14:paraId="231473EF" w14:textId="6E6551B7" w:rsidR="00DB7E53" w:rsidRPr="00F556DE" w:rsidRDefault="00DB7E53">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[34] to [35] – or possibly in any case of fraud.</w:t>
      </w:r>
    </w:p>
  </w:footnote>
  <w:footnote w:id="52">
    <w:p w14:paraId="79A5E032" w14:textId="32134F09" w:rsidR="00A05188" w:rsidRPr="00F556DE" w:rsidRDefault="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p 150.</w:t>
      </w:r>
    </w:p>
  </w:footnote>
  <w:footnote w:id="53">
    <w:p w14:paraId="28E93B30"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[2012] EWCA </w:t>
      </w:r>
      <w:proofErr w:type="spellStart"/>
      <w:r w:rsidRPr="00F556DE">
        <w:rPr>
          <w:rFonts w:ascii="Times New Roman" w:hAnsi="Times New Roman" w:cs="Times New Roman"/>
        </w:rPr>
        <w:t>Civ</w:t>
      </w:r>
      <w:proofErr w:type="spellEnd"/>
      <w:r w:rsidRPr="00F556DE">
        <w:rPr>
          <w:rFonts w:ascii="Times New Roman" w:hAnsi="Times New Roman" w:cs="Times New Roman"/>
        </w:rPr>
        <w:t xml:space="preserve"> 525, CA.</w:t>
      </w:r>
    </w:p>
  </w:footnote>
  <w:footnote w:id="54">
    <w:p w14:paraId="1690635A" w14:textId="31E423B1"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[1990] </w:t>
      </w:r>
      <w:r w:rsidR="00E7766D">
        <w:rPr>
          <w:rFonts w:ascii="Times New Roman" w:hAnsi="Times New Roman" w:cs="Times New Roman"/>
        </w:rPr>
        <w:t>2 AC 605</w:t>
      </w:r>
      <w:r w:rsidRPr="00F556DE">
        <w:rPr>
          <w:rFonts w:ascii="Times New Roman" w:hAnsi="Times New Roman" w:cs="Times New Roman"/>
        </w:rPr>
        <w:t>, HL.</w:t>
      </w:r>
    </w:p>
  </w:footnote>
  <w:footnote w:id="55">
    <w:p w14:paraId="3C402F0A"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[2019] UKSC 20</w:t>
      </w:r>
    </w:p>
  </w:footnote>
  <w:footnote w:id="56">
    <w:p w14:paraId="51D438F1"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[2018] EWCA </w:t>
      </w:r>
      <w:proofErr w:type="spellStart"/>
      <w:r w:rsidRPr="00F556DE">
        <w:rPr>
          <w:rFonts w:ascii="Times New Roman" w:hAnsi="Times New Roman" w:cs="Times New Roman"/>
        </w:rPr>
        <w:t>Civ</w:t>
      </w:r>
      <w:proofErr w:type="spellEnd"/>
      <w:r w:rsidRPr="00F556DE">
        <w:rPr>
          <w:rFonts w:ascii="Times New Roman" w:hAnsi="Times New Roman" w:cs="Times New Roman"/>
        </w:rPr>
        <w:t xml:space="preserve"> 1532.</w:t>
      </w:r>
    </w:p>
  </w:footnote>
  <w:footnote w:id="57">
    <w:p w14:paraId="559944C0"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[36]. For an extension of this argument to the controlling shareholders of at least state-owned entities see E Lim, </w:t>
      </w:r>
      <w:r w:rsidRPr="00F556DE">
        <w:rPr>
          <w:rFonts w:ascii="Times New Roman" w:hAnsi="Times New Roman" w:cs="Times New Roman"/>
          <w:i/>
        </w:rPr>
        <w:t>Sustainability and Corporate Mechanisms in Asia</w:t>
      </w:r>
      <w:r w:rsidRPr="00F556DE">
        <w:rPr>
          <w:rFonts w:ascii="Times New Roman" w:hAnsi="Times New Roman" w:cs="Times New Roman"/>
        </w:rPr>
        <w:t xml:space="preserve"> (CUP, 2020) 267-273.</w:t>
      </w:r>
    </w:p>
  </w:footnote>
  <w:footnote w:id="58">
    <w:p w14:paraId="73EF535D"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[2021] UKSC 3 at [24] - [25].</w:t>
      </w:r>
    </w:p>
  </w:footnote>
  <w:footnote w:id="59">
    <w:p w14:paraId="64978346" w14:textId="77777777" w:rsidR="000C080D" w:rsidRPr="00F556DE" w:rsidRDefault="000C080D" w:rsidP="000C080D">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Zambia, Kenya and Nigeria, respectively.</w:t>
      </w:r>
    </w:p>
  </w:footnote>
  <w:footnote w:id="60">
    <w:p w14:paraId="6F90A45F" w14:textId="197BDC14" w:rsidR="00BF1C2A" w:rsidRPr="00F556DE" w:rsidRDefault="00BF1C2A">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Under the European Union (Withdrawal) Act 2018 (and not subsequently repealed).</w:t>
      </w:r>
    </w:p>
  </w:footnote>
  <w:footnote w:id="61">
    <w:p w14:paraId="40AD35C2" w14:textId="585A62C7" w:rsidR="00765240" w:rsidRPr="00F556DE" w:rsidRDefault="00765240" w:rsidP="00AC58A5">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In </w:t>
      </w:r>
      <w:r w:rsidR="00AC58A5" w:rsidRPr="00F556DE">
        <w:rPr>
          <w:rFonts w:ascii="Times New Roman" w:hAnsi="Times New Roman" w:cs="Times New Roman"/>
          <w:i/>
          <w:iCs/>
        </w:rPr>
        <w:t xml:space="preserve">Da Silva v Brazil Iron Ltd </w:t>
      </w:r>
      <w:r w:rsidR="00AC58A5" w:rsidRPr="00F556DE">
        <w:rPr>
          <w:rFonts w:ascii="Times New Roman" w:hAnsi="Times New Roman" w:cs="Times New Roman"/>
        </w:rPr>
        <w:t xml:space="preserve">[2025] EWHC 606 (KB) </w:t>
      </w:r>
      <w:r w:rsidRPr="00F556DE">
        <w:rPr>
          <w:rFonts w:ascii="Times New Roman" w:hAnsi="Times New Roman" w:cs="Times New Roman"/>
        </w:rPr>
        <w:t>the court was prepared to permit the case to proceed in England even though the applicable law was that of Brazil. However, there was uncontradicted expert evidence that Brazilian environmental law permitted veil piercing if the wrongdoer could not meet the damages awarded: at [21f]</w:t>
      </w:r>
      <w:r w:rsidR="00AC58A5" w:rsidRPr="00F556DE">
        <w:rPr>
          <w:rFonts w:ascii="Times New Roman" w:hAnsi="Times New Roman" w:cs="Times New Roman"/>
        </w:rPr>
        <w:t xml:space="preserve">. See also </w:t>
      </w:r>
      <w:proofErr w:type="spellStart"/>
      <w:r w:rsidR="00AC58A5" w:rsidRPr="00F556DE">
        <w:rPr>
          <w:rFonts w:ascii="Times New Roman" w:hAnsi="Times New Roman" w:cs="Times New Roman"/>
        </w:rPr>
        <w:t>Pargendler</w:t>
      </w:r>
      <w:proofErr w:type="spellEnd"/>
      <w:r w:rsidR="00AC58A5" w:rsidRPr="00F556DE">
        <w:rPr>
          <w:rFonts w:ascii="Times New Roman" w:hAnsi="Times New Roman" w:cs="Times New Roman"/>
        </w:rPr>
        <w:t xml:space="preserve"> and </w:t>
      </w:r>
      <w:proofErr w:type="spellStart"/>
      <w:r w:rsidR="00AC58A5" w:rsidRPr="00F556DE">
        <w:rPr>
          <w:rFonts w:ascii="Times New Roman" w:hAnsi="Times New Roman" w:cs="Times New Roman"/>
        </w:rPr>
        <w:t>Pasqualeto</w:t>
      </w:r>
      <w:proofErr w:type="spellEnd"/>
      <w:r w:rsidR="00AC58A5" w:rsidRPr="00F556DE">
        <w:rPr>
          <w:rFonts w:ascii="Times New Roman" w:hAnsi="Times New Roman" w:cs="Times New Roman"/>
        </w:rPr>
        <w:t xml:space="preserve">, n </w:t>
      </w:r>
      <w:r w:rsidR="003F230D">
        <w:rPr>
          <w:rFonts w:ascii="Times New Roman" w:hAnsi="Times New Roman" w:cs="Times New Roman"/>
        </w:rPr>
        <w:t>85</w:t>
      </w:r>
      <w:r w:rsidR="00AC58A5" w:rsidRPr="00F556DE">
        <w:rPr>
          <w:rFonts w:ascii="Times New Roman" w:hAnsi="Times New Roman" w:cs="Times New Roman"/>
        </w:rPr>
        <w:t xml:space="preserve"> below.</w:t>
      </w:r>
    </w:p>
  </w:footnote>
  <w:footnote w:id="62">
    <w:p w14:paraId="1F7C5C39" w14:textId="77777777" w:rsidR="005A09B9" w:rsidRPr="00F556DE" w:rsidRDefault="005A09B9" w:rsidP="005A09B9">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Art. 4 of the Recast Brussels Regulation on Jurisdiction etc in Civil and Commercial Matters, Regulation (EU) 1215/2012.</w:t>
      </w:r>
    </w:p>
  </w:footnote>
  <w:footnote w:id="63">
    <w:p w14:paraId="00EAC516" w14:textId="334BE71F" w:rsidR="005A09B9" w:rsidRPr="00F556DE" w:rsidRDefault="005A09B9" w:rsidP="005A09B9">
      <w:pPr>
        <w:spacing w:line="240" w:lineRule="auto"/>
        <w:jc w:val="both"/>
        <w:rPr>
          <w:rFonts w:ascii="Times New Roman" w:hAnsi="Times New Roman" w:cs="Times New Roman"/>
          <w:sz w:val="20"/>
          <w:szCs w:val="20"/>
        </w:rPr>
      </w:pPr>
      <w:r w:rsidRPr="00F556DE">
        <w:rPr>
          <w:rStyle w:val="ab"/>
          <w:rFonts w:ascii="Times New Roman" w:hAnsi="Times New Roman" w:cs="Times New Roman"/>
          <w:sz w:val="20"/>
          <w:szCs w:val="20"/>
        </w:rPr>
        <w:footnoteRef/>
      </w:r>
      <w:r w:rsidRPr="00F556DE">
        <w:rPr>
          <w:rFonts w:ascii="Times New Roman" w:hAnsi="Times New Roman" w:cs="Times New Roman"/>
          <w:sz w:val="20"/>
          <w:szCs w:val="20"/>
        </w:rPr>
        <w:t xml:space="preserve"> The court in </w:t>
      </w:r>
      <w:r w:rsidRPr="00F556DE">
        <w:rPr>
          <w:rFonts w:ascii="Times New Roman" w:hAnsi="Times New Roman" w:cs="Times New Roman"/>
          <w:i/>
          <w:sz w:val="20"/>
          <w:szCs w:val="20"/>
        </w:rPr>
        <w:t xml:space="preserve">Vedanta </w:t>
      </w:r>
      <w:r w:rsidRPr="00F556DE">
        <w:rPr>
          <w:rFonts w:ascii="Times New Roman" w:hAnsi="Times New Roman" w:cs="Times New Roman"/>
          <w:sz w:val="20"/>
          <w:szCs w:val="20"/>
        </w:rPr>
        <w:t>discussed the CJEU jurisprudence at [23] to [41].</w:t>
      </w:r>
    </w:p>
  </w:footnote>
  <w:footnote w:id="64">
    <w:p w14:paraId="39E1B325" w14:textId="374B492B" w:rsidR="00F556DE" w:rsidRPr="00CC03ED" w:rsidRDefault="00F556DE" w:rsidP="00CC03ED">
      <w:pPr>
        <w:spacing w:line="240" w:lineRule="auto"/>
        <w:jc w:val="both"/>
        <w:rPr>
          <w:rFonts w:ascii="Times New Roman" w:hAnsi="Times New Roman" w:cs="Times New Roman"/>
          <w:sz w:val="20"/>
          <w:szCs w:val="20"/>
        </w:rPr>
      </w:pPr>
      <w:r w:rsidRPr="00F556DE">
        <w:rPr>
          <w:rStyle w:val="ab"/>
          <w:rFonts w:ascii="Times New Roman" w:hAnsi="Times New Roman" w:cs="Times New Roman"/>
          <w:sz w:val="20"/>
          <w:szCs w:val="20"/>
        </w:rPr>
        <w:footnoteRef/>
      </w:r>
      <w:r w:rsidRPr="00F556DE">
        <w:rPr>
          <w:rFonts w:ascii="Times New Roman" w:hAnsi="Times New Roman" w:cs="Times New Roman"/>
          <w:sz w:val="20"/>
          <w:szCs w:val="20"/>
        </w:rPr>
        <w:t xml:space="preserve"> </w:t>
      </w:r>
      <w:r w:rsidRPr="00F556DE">
        <w:rPr>
          <w:rFonts w:ascii="Times New Roman" w:hAnsi="Times New Roman" w:cs="Times New Roman"/>
          <w:i/>
          <w:iCs/>
          <w:sz w:val="20"/>
          <w:szCs w:val="20"/>
        </w:rPr>
        <w:t xml:space="preserve">Limbu v Dyson Technology Ltd </w:t>
      </w:r>
      <w:r w:rsidRPr="00F556DE">
        <w:rPr>
          <w:rFonts w:ascii="Times New Roman" w:hAnsi="Times New Roman" w:cs="Times New Roman"/>
          <w:sz w:val="20"/>
          <w:szCs w:val="20"/>
        </w:rPr>
        <w:t xml:space="preserve">[2024] EWCA </w:t>
      </w:r>
      <w:proofErr w:type="spellStart"/>
      <w:r w:rsidRPr="00F556DE">
        <w:rPr>
          <w:rFonts w:ascii="Times New Roman" w:hAnsi="Times New Roman" w:cs="Times New Roman"/>
          <w:sz w:val="20"/>
          <w:szCs w:val="20"/>
        </w:rPr>
        <w:t>Civ</w:t>
      </w:r>
      <w:proofErr w:type="spellEnd"/>
      <w:r w:rsidRPr="00F556DE">
        <w:rPr>
          <w:rFonts w:ascii="Times New Roman" w:hAnsi="Times New Roman" w:cs="Times New Roman"/>
          <w:sz w:val="20"/>
          <w:szCs w:val="20"/>
        </w:rPr>
        <w:t xml:space="preserve"> 1564; </w:t>
      </w:r>
      <w:r w:rsidRPr="00F556DE">
        <w:rPr>
          <w:rFonts w:ascii="Times New Roman" w:hAnsi="Times New Roman" w:cs="Times New Roman"/>
          <w:i/>
          <w:iCs/>
          <w:sz w:val="20"/>
          <w:szCs w:val="20"/>
        </w:rPr>
        <w:t>Da Silva</w:t>
      </w:r>
      <w:r w:rsidRPr="00F556DE">
        <w:rPr>
          <w:rFonts w:ascii="Times New Roman" w:hAnsi="Times New Roman" w:cs="Times New Roman"/>
          <w:sz w:val="20"/>
          <w:szCs w:val="20"/>
        </w:rPr>
        <w:t xml:space="preserve">, above n </w:t>
      </w:r>
      <w:r w:rsidR="003F230D">
        <w:rPr>
          <w:rFonts w:ascii="Times New Roman" w:hAnsi="Times New Roman" w:cs="Times New Roman"/>
          <w:sz w:val="20"/>
          <w:szCs w:val="20"/>
        </w:rPr>
        <w:t>61</w:t>
      </w:r>
      <w:r w:rsidRPr="00F556DE">
        <w:rPr>
          <w:rFonts w:ascii="Times New Roman" w:hAnsi="Times New Roman" w:cs="Times New Roman"/>
          <w:sz w:val="20"/>
          <w:szCs w:val="20"/>
        </w:rPr>
        <w:t>. The</w:t>
      </w:r>
      <w:r w:rsidR="00BC6E4E">
        <w:rPr>
          <w:rFonts w:ascii="Times New Roman" w:hAnsi="Times New Roman" w:cs="Times New Roman"/>
          <w:sz w:val="20"/>
          <w:szCs w:val="20"/>
        </w:rPr>
        <w:t>se decisions are</w:t>
      </w:r>
      <w:r w:rsidRPr="00F556DE">
        <w:rPr>
          <w:rFonts w:ascii="Times New Roman" w:hAnsi="Times New Roman" w:cs="Times New Roman"/>
          <w:sz w:val="20"/>
          <w:szCs w:val="20"/>
        </w:rPr>
        <w:t xml:space="preserve"> an implicit endorsement of the arguments advance</w:t>
      </w:r>
      <w:r w:rsidR="00CC03ED">
        <w:rPr>
          <w:rFonts w:ascii="Times New Roman" w:hAnsi="Times New Roman" w:cs="Times New Roman"/>
          <w:sz w:val="20"/>
          <w:szCs w:val="20"/>
        </w:rPr>
        <w:t>d</w:t>
      </w:r>
      <w:r w:rsidRPr="00F556DE">
        <w:rPr>
          <w:rFonts w:ascii="Times New Roman" w:hAnsi="Times New Roman" w:cs="Times New Roman"/>
          <w:sz w:val="20"/>
          <w:szCs w:val="20"/>
        </w:rPr>
        <w:t xml:space="preserve"> by E </w:t>
      </w:r>
      <w:proofErr w:type="spellStart"/>
      <w:r w:rsidRPr="00F556DE">
        <w:rPr>
          <w:rFonts w:ascii="Times New Roman" w:hAnsi="Times New Roman" w:cs="Times New Roman"/>
          <w:sz w:val="20"/>
          <w:szCs w:val="20"/>
        </w:rPr>
        <w:t>Aristova</w:t>
      </w:r>
      <w:proofErr w:type="spellEnd"/>
      <w:r w:rsidRPr="00F556DE">
        <w:rPr>
          <w:rFonts w:ascii="Times New Roman" w:hAnsi="Times New Roman" w:cs="Times New Roman"/>
          <w:sz w:val="20"/>
          <w:szCs w:val="20"/>
        </w:rPr>
        <w:t xml:space="preserve">, “The Future of Tort Litigation against Transnational Corporations in the English Courts: Is Forum </w:t>
      </w:r>
      <w:proofErr w:type="gramStart"/>
      <w:r w:rsidRPr="00F556DE">
        <w:rPr>
          <w:rFonts w:ascii="Times New Roman" w:hAnsi="Times New Roman" w:cs="Times New Roman"/>
          <w:sz w:val="20"/>
          <w:szCs w:val="20"/>
        </w:rPr>
        <w:t>[Non] Conveniens</w:t>
      </w:r>
      <w:proofErr w:type="gramEnd"/>
      <w:r w:rsidRPr="00F556DE">
        <w:rPr>
          <w:rFonts w:ascii="Times New Roman" w:hAnsi="Times New Roman" w:cs="Times New Roman"/>
          <w:sz w:val="20"/>
          <w:szCs w:val="20"/>
        </w:rPr>
        <w:t xml:space="preserve"> Back?” (2021) 6 </w:t>
      </w:r>
      <w:r w:rsidRPr="00F556DE">
        <w:rPr>
          <w:rFonts w:ascii="Times New Roman" w:hAnsi="Times New Roman" w:cs="Times New Roman"/>
          <w:i/>
          <w:sz w:val="20"/>
          <w:szCs w:val="20"/>
        </w:rPr>
        <w:t xml:space="preserve">Business and Human Rights Journal </w:t>
      </w:r>
      <w:r w:rsidRPr="00F556DE">
        <w:rPr>
          <w:rFonts w:ascii="Times New Roman" w:hAnsi="Times New Roman" w:cs="Times New Roman"/>
          <w:sz w:val="20"/>
          <w:szCs w:val="20"/>
        </w:rPr>
        <w:t>399.</w:t>
      </w:r>
    </w:p>
  </w:footnote>
  <w:footnote w:id="65">
    <w:p w14:paraId="1F594328"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But it follows that the appeal courts have not yet addressed in any detail the questions of whether the duty of care was broken, whether it caused harm to the claimants and how compensation should be assessed.</w:t>
      </w:r>
    </w:p>
  </w:footnote>
  <w:footnote w:id="66">
    <w:p w14:paraId="3E7209D5"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CA 2006, ss 1159 and 1162. For reasons related to EU law there are slightly different definitions for “holding” companies and “parent” companies, but the core of both definitions is as stated in the text.</w:t>
      </w:r>
      <w:r w:rsidRPr="00F556DE">
        <w:rPr>
          <w:rFonts w:ascii="Times New Roman" w:hAnsi="Times New Roman" w:cs="Times New Roman"/>
        </w:rPr>
        <w:tab/>
      </w:r>
    </w:p>
  </w:footnote>
  <w:footnote w:id="67">
    <w:p w14:paraId="37F001FA" w14:textId="77777777" w:rsidR="00A05188" w:rsidRPr="00F556DE" w:rsidRDefault="00A05188" w:rsidP="00A05188">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proofErr w:type="gramStart"/>
      <w:r w:rsidRPr="00F556DE">
        <w:rPr>
          <w:rFonts w:ascii="Times New Roman" w:hAnsi="Times New Roman" w:cs="Times New Roman"/>
        </w:rPr>
        <w:t>This lists</w:t>
      </w:r>
      <w:proofErr w:type="gramEnd"/>
      <w:r w:rsidRPr="00F556DE">
        <w:rPr>
          <w:rFonts w:ascii="Times New Roman" w:hAnsi="Times New Roman" w:cs="Times New Roman"/>
        </w:rPr>
        <w:t xml:space="preserve"> omits a possible further basis of liability identified in </w:t>
      </w:r>
      <w:r w:rsidRPr="00F556DE">
        <w:rPr>
          <w:rFonts w:ascii="Times New Roman" w:hAnsi="Times New Roman" w:cs="Times New Roman"/>
          <w:i/>
        </w:rPr>
        <w:t>Chandler</w:t>
      </w:r>
      <w:r w:rsidRPr="00F556DE">
        <w:rPr>
          <w:rFonts w:ascii="Times New Roman" w:hAnsi="Times New Roman" w:cs="Times New Roman"/>
        </w:rPr>
        <w:t xml:space="preserve">, </w:t>
      </w:r>
      <w:proofErr w:type="spellStart"/>
      <w:r w:rsidRPr="00F556DE">
        <w:rPr>
          <w:rFonts w:ascii="Times New Roman" w:hAnsi="Times New Roman" w:cs="Times New Roman"/>
        </w:rPr>
        <w:t>ie</w:t>
      </w:r>
      <w:proofErr w:type="spellEnd"/>
      <w:r w:rsidRPr="00F556DE">
        <w:rPr>
          <w:rFonts w:ascii="Times New Roman" w:hAnsi="Times New Roman" w:cs="Times New Roman"/>
        </w:rPr>
        <w:t xml:space="preserve"> superior knowledge. This arises where ‘(1) the businesses of the parent and subsidiary are in a relevant respect the same; (2) the parent has, or ought to have, superior knowledge on some relevant aspect of health and safety in the particular industry; (3) the subsidiary's system of work is unsafe as the parent company knew, or ought to have known; and (4) the parent knew or ought to have foreseen that the subsidiary or its employees would rely on its using that superior knowledge for the employees' protection.’ (at [80]).</w:t>
      </w:r>
    </w:p>
  </w:footnote>
  <w:footnote w:id="68">
    <w:p w14:paraId="0D88A63F"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[153].</w:t>
      </w:r>
    </w:p>
  </w:footnote>
  <w:footnote w:id="69">
    <w:p w14:paraId="4E5E6ADE"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[61].</w:t>
      </w:r>
    </w:p>
  </w:footnote>
  <w:footnote w:id="70">
    <w:p w14:paraId="1736B864" w14:textId="391EDD5F"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r w:rsidRPr="00F556DE">
        <w:rPr>
          <w:rFonts w:ascii="Times New Roman" w:hAnsi="Times New Roman" w:cs="Times New Roman"/>
          <w:i/>
        </w:rPr>
        <w:t>Gower Principles of Modern Company Law</w:t>
      </w:r>
      <w:r w:rsidRPr="00F556DE">
        <w:rPr>
          <w:rFonts w:ascii="Times New Roman" w:hAnsi="Times New Roman" w:cs="Times New Roman"/>
        </w:rPr>
        <w:t xml:space="preserve"> (Sweet &amp; Maxwell, 1</w:t>
      </w:r>
      <w:r w:rsidR="00BC6E4E">
        <w:rPr>
          <w:rFonts w:ascii="Times New Roman" w:hAnsi="Times New Roman" w:cs="Times New Roman"/>
        </w:rPr>
        <w:t>2</w:t>
      </w:r>
      <w:r w:rsidRPr="00F556DE">
        <w:rPr>
          <w:rFonts w:ascii="Times New Roman" w:hAnsi="Times New Roman" w:cs="Times New Roman"/>
          <w:vertAlign w:val="superscript"/>
        </w:rPr>
        <w:t>th</w:t>
      </w:r>
      <w:r w:rsidRPr="00F556DE">
        <w:rPr>
          <w:rFonts w:ascii="Times New Roman" w:hAnsi="Times New Roman" w:cs="Times New Roman"/>
        </w:rPr>
        <w:t xml:space="preserve"> ed, 202</w:t>
      </w:r>
      <w:r w:rsidR="00BC6E4E">
        <w:rPr>
          <w:rFonts w:ascii="Times New Roman" w:hAnsi="Times New Roman" w:cs="Times New Roman"/>
        </w:rPr>
        <w:t>6</w:t>
      </w:r>
      <w:r w:rsidRPr="00F556DE">
        <w:rPr>
          <w:rFonts w:ascii="Times New Roman" w:hAnsi="Times New Roman" w:cs="Times New Roman"/>
        </w:rPr>
        <w:t xml:space="preserve">) </w:t>
      </w:r>
      <w:proofErr w:type="spellStart"/>
      <w:r w:rsidR="00BC6E4E">
        <w:rPr>
          <w:rFonts w:ascii="Times New Roman" w:hAnsi="Times New Roman" w:cs="Times New Roman"/>
        </w:rPr>
        <w:t>ch.</w:t>
      </w:r>
      <w:proofErr w:type="spellEnd"/>
      <w:r w:rsidR="00BC6E4E">
        <w:rPr>
          <w:rFonts w:ascii="Times New Roman" w:hAnsi="Times New Roman" w:cs="Times New Roman"/>
        </w:rPr>
        <w:t xml:space="preserve"> 24</w:t>
      </w:r>
      <w:r w:rsidRPr="00F556DE">
        <w:rPr>
          <w:rFonts w:ascii="Times New Roman" w:hAnsi="Times New Roman" w:cs="Times New Roman"/>
        </w:rPr>
        <w:t>.</w:t>
      </w:r>
    </w:p>
  </w:footnote>
  <w:footnote w:id="71">
    <w:p w14:paraId="294CA3D4"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[133] to [140].</w:t>
      </w:r>
    </w:p>
  </w:footnote>
  <w:footnote w:id="72">
    <w:p w14:paraId="7C35CB23"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Ie officially listed in the UK or an EEA state or traded on the NYSE or Nasdaq.</w:t>
      </w:r>
    </w:p>
  </w:footnote>
  <w:footnote w:id="73">
    <w:p w14:paraId="36BEF6BA" w14:textId="3714EF41"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In the case of climate change </w:t>
      </w:r>
      <w:proofErr w:type="gramStart"/>
      <w:r w:rsidRPr="00F556DE">
        <w:rPr>
          <w:rFonts w:ascii="Times New Roman" w:hAnsi="Times New Roman" w:cs="Times New Roman"/>
        </w:rPr>
        <w:t>disclosures</w:t>
      </w:r>
      <w:proofErr w:type="gramEnd"/>
      <w:r w:rsidRPr="00F556DE">
        <w:rPr>
          <w:rFonts w:ascii="Times New Roman" w:hAnsi="Times New Roman" w:cs="Times New Roman"/>
        </w:rPr>
        <w:t xml:space="preserve"> the CA’s requirements are enhanced by the Listing Rules (LR 9.</w:t>
      </w:r>
      <w:r w:rsidR="00716740">
        <w:rPr>
          <w:rFonts w:ascii="Times New Roman" w:hAnsi="Times New Roman" w:cs="Times New Roman"/>
        </w:rPr>
        <w:t>6</w:t>
      </w:r>
      <w:r w:rsidRPr="00F556DE">
        <w:rPr>
          <w:rFonts w:ascii="Times New Roman" w:hAnsi="Times New Roman" w:cs="Times New Roman"/>
        </w:rPr>
        <w:t>.6(8)).</w:t>
      </w:r>
    </w:p>
  </w:footnote>
  <w:footnote w:id="74">
    <w:p w14:paraId="570BFE88"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CA 2006, s 414CB (operative from December 2016).</w:t>
      </w:r>
    </w:p>
  </w:footnote>
  <w:footnote w:id="75">
    <w:p w14:paraId="023093C2"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See further below §4.</w:t>
      </w:r>
    </w:p>
  </w:footnote>
  <w:footnote w:id="76">
    <w:p w14:paraId="1CA11F9E"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[61].</w:t>
      </w:r>
    </w:p>
  </w:footnote>
  <w:footnote w:id="77">
    <w:p w14:paraId="6C46B555"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[111].</w:t>
      </w:r>
    </w:p>
  </w:footnote>
  <w:footnote w:id="78">
    <w:p w14:paraId="0A2E6150" w14:textId="39BF50CC" w:rsidR="00A05188" w:rsidRPr="00B91798" w:rsidRDefault="00A05188" w:rsidP="00046AFA">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[2018] EWCA </w:t>
      </w:r>
      <w:proofErr w:type="spellStart"/>
      <w:r w:rsidRPr="00F556DE">
        <w:rPr>
          <w:rFonts w:ascii="Times New Roman" w:hAnsi="Times New Roman" w:cs="Times New Roman"/>
        </w:rPr>
        <w:t>Civ</w:t>
      </w:r>
      <w:proofErr w:type="spellEnd"/>
      <w:r w:rsidRPr="00F556DE">
        <w:rPr>
          <w:rFonts w:ascii="Times New Roman" w:hAnsi="Times New Roman" w:cs="Times New Roman"/>
        </w:rPr>
        <w:t xml:space="preserve"> 1532.</w:t>
      </w:r>
      <w:r w:rsidR="00046AFA">
        <w:rPr>
          <w:rFonts w:ascii="Times New Roman" w:hAnsi="Times New Roman" w:cs="Times New Roman"/>
        </w:rPr>
        <w:t xml:space="preserve"> Nevertheless, Unilever later disposed of the plantations to a private equity buyer: </w:t>
      </w:r>
      <w:r w:rsidR="00B91798">
        <w:rPr>
          <w:rFonts w:ascii="Times New Roman" w:hAnsi="Times New Roman" w:cs="Times New Roman"/>
        </w:rPr>
        <w:t>“</w:t>
      </w:r>
      <w:r w:rsidR="00046AFA" w:rsidRPr="00046AFA">
        <w:rPr>
          <w:rFonts w:ascii="Times New Roman" w:hAnsi="Times New Roman" w:cs="Times New Roman"/>
        </w:rPr>
        <w:t>How Unilever’s tea business became a test of private equity’s conscience</w:t>
      </w:r>
      <w:r w:rsidR="00B91798">
        <w:rPr>
          <w:rFonts w:ascii="Times New Roman" w:hAnsi="Times New Roman" w:cs="Times New Roman"/>
        </w:rPr>
        <w:t xml:space="preserve">”, </w:t>
      </w:r>
      <w:r w:rsidR="00B91798">
        <w:rPr>
          <w:rFonts w:ascii="Times New Roman" w:hAnsi="Times New Roman" w:cs="Times New Roman"/>
          <w:i/>
          <w:iCs/>
        </w:rPr>
        <w:t>Financial Times</w:t>
      </w:r>
      <w:r w:rsidR="00B91798">
        <w:rPr>
          <w:rFonts w:ascii="Times New Roman" w:hAnsi="Times New Roman" w:cs="Times New Roman"/>
        </w:rPr>
        <w:t>, 16/02/2022.</w:t>
      </w:r>
    </w:p>
  </w:footnote>
  <w:footnote w:id="79">
    <w:p w14:paraId="3057E812" w14:textId="77777777" w:rsidR="00A05188" w:rsidRPr="00F556DE" w:rsidRDefault="00A05188" w:rsidP="00A05188">
      <w:pPr>
        <w:pStyle w:val="aa"/>
        <w:jc w:val="both"/>
        <w:rPr>
          <w:rFonts w:ascii="Times New Roman" w:hAnsi="Times New Roman" w:cs="Times New Roman"/>
          <w:i/>
        </w:rPr>
      </w:pPr>
      <w:r w:rsidRPr="00F556DE">
        <w:rPr>
          <w:rStyle w:val="ab"/>
          <w:rFonts w:ascii="Times New Roman" w:hAnsi="Times New Roman" w:cs="Times New Roman"/>
        </w:rPr>
        <w:footnoteRef/>
      </w:r>
      <w:r w:rsidRPr="00F556DE">
        <w:rPr>
          <w:rFonts w:ascii="Times New Roman" w:hAnsi="Times New Roman" w:cs="Times New Roman"/>
        </w:rPr>
        <w:t xml:space="preserve"> See also </w:t>
      </w:r>
      <w:r w:rsidRPr="00F556DE">
        <w:rPr>
          <w:rFonts w:ascii="Times New Roman" w:hAnsi="Times New Roman" w:cs="Times New Roman"/>
          <w:i/>
        </w:rPr>
        <w:t xml:space="preserve">Thompson v The Renwick Group plc </w:t>
      </w:r>
      <w:r w:rsidRPr="00F556DE">
        <w:rPr>
          <w:rFonts w:ascii="Times New Roman" w:hAnsi="Times New Roman" w:cs="Times New Roman"/>
        </w:rPr>
        <w:t xml:space="preserve">[2014] EWCA </w:t>
      </w:r>
      <w:proofErr w:type="spellStart"/>
      <w:r w:rsidRPr="00F556DE">
        <w:rPr>
          <w:rFonts w:ascii="Times New Roman" w:hAnsi="Times New Roman" w:cs="Times New Roman"/>
        </w:rPr>
        <w:t>Civ</w:t>
      </w:r>
      <w:proofErr w:type="spellEnd"/>
      <w:r w:rsidRPr="00F556DE">
        <w:rPr>
          <w:rFonts w:ascii="Times New Roman" w:hAnsi="Times New Roman" w:cs="Times New Roman"/>
        </w:rPr>
        <w:t xml:space="preserve"> 635 – holding company with purely coordinating functions owed no duty of care to an employee of a subsidiary. This was so even though the parent had appointed a director to the subsidiary to be responsible for health and safety at the subsidiary (asbestos risk again).</w:t>
      </w:r>
      <w:r w:rsidRPr="00F556DE">
        <w:rPr>
          <w:rFonts w:ascii="Times New Roman" w:hAnsi="Times New Roman" w:cs="Times New Roman"/>
          <w:i/>
        </w:rPr>
        <w:t xml:space="preserve"> </w:t>
      </w:r>
    </w:p>
  </w:footnote>
  <w:footnote w:id="80">
    <w:p w14:paraId="376EC23F"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[2021] EWCA </w:t>
      </w:r>
      <w:proofErr w:type="spellStart"/>
      <w:r w:rsidRPr="00F556DE">
        <w:rPr>
          <w:rFonts w:ascii="Times New Roman" w:hAnsi="Times New Roman" w:cs="Times New Roman"/>
        </w:rPr>
        <w:t>Civ</w:t>
      </w:r>
      <w:proofErr w:type="spellEnd"/>
      <w:r w:rsidRPr="00F556DE">
        <w:rPr>
          <w:rFonts w:ascii="Times New Roman" w:hAnsi="Times New Roman" w:cs="Times New Roman"/>
        </w:rPr>
        <w:t xml:space="preserve"> 326.</w:t>
      </w:r>
    </w:p>
  </w:footnote>
  <w:footnote w:id="81">
    <w:p w14:paraId="2F1EBE35"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[64].</w:t>
      </w:r>
    </w:p>
  </w:footnote>
  <w:footnote w:id="82">
    <w:p w14:paraId="4973D07E"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In fact, the contract contained such a </w:t>
      </w:r>
      <w:proofErr w:type="gramStart"/>
      <w:r w:rsidRPr="00F556DE">
        <w:rPr>
          <w:rFonts w:ascii="Times New Roman" w:hAnsi="Times New Roman" w:cs="Times New Roman"/>
        </w:rPr>
        <w:t>clause</w:t>
      </w:r>
      <w:proofErr w:type="gramEnd"/>
      <w:r w:rsidRPr="00F556DE">
        <w:rPr>
          <w:rFonts w:ascii="Times New Roman" w:hAnsi="Times New Roman" w:cs="Times New Roman"/>
        </w:rPr>
        <w:t xml:space="preserve"> but the court concluded that neither the defendant nor </w:t>
      </w:r>
      <w:proofErr w:type="spellStart"/>
      <w:r w:rsidRPr="00F556DE">
        <w:rPr>
          <w:rFonts w:ascii="Times New Roman" w:hAnsi="Times New Roman" w:cs="Times New Roman"/>
        </w:rPr>
        <w:t>Hsejar</w:t>
      </w:r>
      <w:proofErr w:type="spellEnd"/>
      <w:r w:rsidRPr="00F556DE">
        <w:rPr>
          <w:rFonts w:ascii="Times New Roman" w:hAnsi="Times New Roman" w:cs="Times New Roman"/>
        </w:rPr>
        <w:t xml:space="preserve"> expected it to be enforced (at [69]). </w:t>
      </w:r>
    </w:p>
  </w:footnote>
  <w:footnote w:id="83">
    <w:p w14:paraId="7B12586C" w14:textId="77777777" w:rsidR="00A05188" w:rsidRPr="00F556DE" w:rsidRDefault="00A05188" w:rsidP="00A0518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[63].</w:t>
      </w:r>
    </w:p>
  </w:footnote>
  <w:footnote w:id="84">
    <w:p w14:paraId="5E9952E3" w14:textId="77777777" w:rsidR="00E77CC8" w:rsidRPr="00F556DE" w:rsidRDefault="00E77CC8" w:rsidP="00E77CC8">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This section is confined to possible judicial development of the law. If the legislature sought to intervene on this topic, it could operate, of course, on a broader canvas.</w:t>
      </w:r>
    </w:p>
  </w:footnote>
  <w:footnote w:id="85">
    <w:p w14:paraId="3D806A2D" w14:textId="3B5DC4A2" w:rsidR="00442AE8" w:rsidRPr="00F556DE" w:rsidRDefault="00442AE8" w:rsidP="00765332">
      <w:pPr>
        <w:spacing w:before="240" w:after="240" w:line="254" w:lineRule="auto"/>
        <w:rPr>
          <w:rFonts w:ascii="Times New Roman" w:hAnsi="Times New Roman" w:cs="Times New Roman"/>
          <w:sz w:val="20"/>
          <w:szCs w:val="20"/>
          <w:lang w:val="en-US"/>
        </w:rPr>
      </w:pPr>
      <w:r w:rsidRPr="00F556DE">
        <w:rPr>
          <w:rStyle w:val="ab"/>
          <w:rFonts w:ascii="Times New Roman" w:hAnsi="Times New Roman" w:cs="Times New Roman"/>
          <w:sz w:val="20"/>
          <w:szCs w:val="20"/>
        </w:rPr>
        <w:footnoteRef/>
      </w:r>
      <w:r w:rsidRPr="00F556DE">
        <w:rPr>
          <w:rFonts w:ascii="Times New Roman" w:hAnsi="Times New Roman" w:cs="Times New Roman"/>
          <w:sz w:val="20"/>
          <w:szCs w:val="20"/>
        </w:rPr>
        <w:t xml:space="preserve"> </w:t>
      </w:r>
      <w:proofErr w:type="spellStart"/>
      <w:r w:rsidRPr="00F556DE">
        <w:rPr>
          <w:rFonts w:ascii="Times New Roman" w:hAnsi="Times New Roman" w:cs="Times New Roman"/>
          <w:sz w:val="20"/>
          <w:szCs w:val="20"/>
        </w:rPr>
        <w:t>Pargendler</w:t>
      </w:r>
      <w:proofErr w:type="spellEnd"/>
      <w:r w:rsidRPr="00F556DE">
        <w:rPr>
          <w:rFonts w:ascii="Times New Roman" w:hAnsi="Times New Roman" w:cs="Times New Roman"/>
          <w:sz w:val="20"/>
          <w:szCs w:val="20"/>
        </w:rPr>
        <w:t xml:space="preserve"> and </w:t>
      </w:r>
      <w:proofErr w:type="spellStart"/>
      <w:r w:rsidRPr="00F556DE">
        <w:rPr>
          <w:rFonts w:ascii="Times New Roman" w:hAnsi="Times New Roman" w:cs="Times New Roman"/>
          <w:sz w:val="20"/>
          <w:szCs w:val="20"/>
        </w:rPr>
        <w:t>Pasqualeto</w:t>
      </w:r>
      <w:proofErr w:type="spellEnd"/>
      <w:r w:rsidRPr="00F556DE">
        <w:rPr>
          <w:rFonts w:ascii="Times New Roman" w:hAnsi="Times New Roman" w:cs="Times New Roman"/>
          <w:sz w:val="20"/>
          <w:szCs w:val="20"/>
        </w:rPr>
        <w:t xml:space="preserve">, in their comparative survey </w:t>
      </w:r>
      <w:bookmarkStart w:id="0" w:name="_Hlk198532830"/>
      <w:bookmarkStart w:id="1" w:name="_Hlk195173591"/>
      <w:r w:rsidR="00765332" w:rsidRPr="00F556DE">
        <w:rPr>
          <w:rFonts w:ascii="Times New Roman" w:hAnsi="Times New Roman" w:cs="Times New Roman"/>
          <w:sz w:val="20"/>
          <w:szCs w:val="20"/>
        </w:rPr>
        <w:t>“</w:t>
      </w:r>
      <w:r w:rsidRPr="00F556DE">
        <w:rPr>
          <w:rFonts w:ascii="Times New Roman" w:hAnsi="Times New Roman" w:cs="Times New Roman"/>
          <w:sz w:val="20"/>
          <w:szCs w:val="20"/>
          <w:lang w:val="en-US"/>
        </w:rPr>
        <w:t xml:space="preserve">Overcoming Corporate Separateness: The Early Origins of Group Liability </w:t>
      </w:r>
      <w:r w:rsidR="00765332" w:rsidRPr="00F556DE">
        <w:rPr>
          <w:rFonts w:ascii="Times New Roman" w:hAnsi="Times New Roman" w:cs="Times New Roman"/>
          <w:sz w:val="20"/>
          <w:szCs w:val="20"/>
          <w:lang w:val="en-US"/>
        </w:rPr>
        <w:t>for Workers”,</w:t>
      </w:r>
      <w:r w:rsidRPr="00F556DE">
        <w:rPr>
          <w:rFonts w:ascii="Times New Roman" w:hAnsi="Times New Roman" w:cs="Times New Roman"/>
          <w:sz w:val="20"/>
          <w:szCs w:val="20"/>
          <w:lang w:val="en-US"/>
        </w:rPr>
        <w:t xml:space="preserve"> </w:t>
      </w:r>
      <w:bookmarkEnd w:id="0"/>
      <w:bookmarkEnd w:id="1"/>
      <w:r w:rsidR="00765332" w:rsidRPr="00F556DE">
        <w:rPr>
          <w:rFonts w:ascii="Times New Roman" w:hAnsi="Times New Roman" w:cs="Times New Roman"/>
          <w:sz w:val="20"/>
          <w:szCs w:val="20"/>
          <w:lang w:val="en-US"/>
        </w:rPr>
        <w:t>s</w:t>
      </w:r>
      <w:proofErr w:type="spellStart"/>
      <w:r w:rsidRPr="00F556DE">
        <w:rPr>
          <w:rFonts w:ascii="Times New Roman" w:hAnsi="Times New Roman" w:cs="Times New Roman"/>
          <w:sz w:val="20"/>
          <w:szCs w:val="20"/>
        </w:rPr>
        <w:t>tate</w:t>
      </w:r>
      <w:proofErr w:type="spellEnd"/>
      <w:r w:rsidRPr="00F556DE">
        <w:rPr>
          <w:rFonts w:ascii="Times New Roman" w:hAnsi="Times New Roman" w:cs="Times New Roman"/>
          <w:sz w:val="20"/>
          <w:szCs w:val="20"/>
        </w:rPr>
        <w:t>: “</w:t>
      </w:r>
      <w:r w:rsidRPr="00F556DE">
        <w:rPr>
          <w:rFonts w:ascii="Times New Roman" w:hAnsi="Times New Roman" w:cs="Times New Roman"/>
          <w:sz w:val="20"/>
          <w:szCs w:val="20"/>
          <w:lang w:val="en-US"/>
        </w:rPr>
        <w:t>At the more formalist end of the spectrum, the United Kingdom and Germany permit only limited incursions into the principle of separate legal personality.”</w:t>
      </w:r>
      <w:r w:rsidR="00765332" w:rsidRPr="00F556DE">
        <w:rPr>
          <w:rFonts w:ascii="Times New Roman" w:hAnsi="Times New Roman" w:cs="Times New Roman"/>
          <w:sz w:val="20"/>
          <w:szCs w:val="20"/>
          <w:lang w:val="en-US"/>
        </w:rPr>
        <w:t xml:space="preserve"> ECGI </w:t>
      </w:r>
      <w:r w:rsidR="00765332" w:rsidRPr="00F556DE">
        <w:rPr>
          <w:rFonts w:ascii="Times New Roman" w:hAnsi="Times New Roman" w:cs="Times New Roman"/>
          <w:sz w:val="20"/>
          <w:szCs w:val="20"/>
        </w:rPr>
        <w:t>Law Working Paper No. 895/2026, p 22 (available at: </w:t>
      </w:r>
      <w:hyperlink r:id="rId1" w:history="1">
        <w:r w:rsidR="00765332" w:rsidRPr="00F556DE">
          <w:rPr>
            <w:rStyle w:val="ae"/>
            <w:rFonts w:ascii="Times New Roman" w:hAnsi="Times New Roman" w:cs="Times New Roman"/>
            <w:sz w:val="20"/>
            <w:szCs w:val="20"/>
          </w:rPr>
          <w:t>ssrn.com/abstract=6105586</w:t>
        </w:r>
      </w:hyperlink>
      <w:r w:rsidR="00765332" w:rsidRPr="00F556DE">
        <w:rPr>
          <w:rFonts w:ascii="Times New Roman" w:hAnsi="Times New Roman" w:cs="Times New Roman"/>
          <w:sz w:val="20"/>
          <w:szCs w:val="20"/>
        </w:rPr>
        <w:t>) </w:t>
      </w:r>
      <w:r w:rsidR="00765332" w:rsidRPr="00F556DE">
        <w:rPr>
          <w:rFonts w:ascii="Times New Roman" w:hAnsi="Times New Roman" w:cs="Times New Roman"/>
          <w:sz w:val="20"/>
          <w:szCs w:val="20"/>
          <w:lang w:val="en-US"/>
        </w:rPr>
        <w:t xml:space="preserve"> </w:t>
      </w:r>
    </w:p>
  </w:footnote>
  <w:footnote w:id="86">
    <w:p w14:paraId="0E2B6DF7" w14:textId="2989B664" w:rsidR="007502F4" w:rsidRPr="00F556DE" w:rsidRDefault="007502F4">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w:t>
      </w:r>
      <w:r w:rsidR="00645CE0" w:rsidRPr="00F556DE">
        <w:rPr>
          <w:rFonts w:ascii="Times New Roman" w:hAnsi="Times New Roman" w:cs="Times New Roman"/>
        </w:rPr>
        <w:t>[105].</w:t>
      </w:r>
    </w:p>
  </w:footnote>
  <w:footnote w:id="87">
    <w:p w14:paraId="0A04877B" w14:textId="1050F145" w:rsidR="003E7459" w:rsidRPr="00F556DE" w:rsidRDefault="003E7459">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[75] and [77].</w:t>
      </w:r>
    </w:p>
  </w:footnote>
  <w:footnote w:id="88">
    <w:p w14:paraId="5D658090" w14:textId="1B64ED15" w:rsidR="00645CE0" w:rsidRPr="00F556DE" w:rsidRDefault="00645CE0" w:rsidP="005D05BC">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w:t>
      </w:r>
      <w:r w:rsidRPr="00F556DE">
        <w:rPr>
          <w:rFonts w:ascii="Times New Roman" w:hAnsi="Times New Roman" w:cs="Times New Roman"/>
          <w:i/>
          <w:iCs/>
        </w:rPr>
        <w:t xml:space="preserve">A-G v </w:t>
      </w:r>
      <w:proofErr w:type="spellStart"/>
      <w:r w:rsidRPr="00F556DE">
        <w:rPr>
          <w:rFonts w:ascii="Times New Roman" w:hAnsi="Times New Roman" w:cs="Times New Roman"/>
          <w:i/>
          <w:iCs/>
        </w:rPr>
        <w:t>Equiticorp</w:t>
      </w:r>
      <w:proofErr w:type="spellEnd"/>
      <w:r w:rsidRPr="00F556DE">
        <w:rPr>
          <w:rFonts w:ascii="Times New Roman" w:hAnsi="Times New Roman" w:cs="Times New Roman"/>
          <w:i/>
          <w:iCs/>
        </w:rPr>
        <w:t xml:space="preserve"> Industries Group Ltd </w:t>
      </w:r>
      <w:r w:rsidRPr="00F556DE">
        <w:rPr>
          <w:rFonts w:ascii="Times New Roman" w:hAnsi="Times New Roman" w:cs="Times New Roman"/>
        </w:rPr>
        <w:t>[1966] 1 NZLR 528.</w:t>
      </w:r>
      <w:r w:rsidR="00C2610D" w:rsidRPr="00F556DE">
        <w:rPr>
          <w:rFonts w:ascii="Times New Roman" w:hAnsi="Times New Roman" w:cs="Times New Roman"/>
        </w:rPr>
        <w:t xml:space="preserve"> Lord Neuberger might also have referred to Benjamin Cardozo’s famous remark that veil piercing doctrine was “enveloped in the mists of metaphor”: </w:t>
      </w:r>
      <w:r w:rsidR="00C2610D" w:rsidRPr="00F556DE">
        <w:rPr>
          <w:rFonts w:ascii="Times New Roman" w:hAnsi="Times New Roman" w:cs="Times New Roman"/>
          <w:i/>
          <w:iCs/>
        </w:rPr>
        <w:t>Berkey v. Third Ave RR</w:t>
      </w:r>
      <w:r w:rsidR="00C2610D" w:rsidRPr="00F556DE">
        <w:rPr>
          <w:rFonts w:ascii="Times New Roman" w:hAnsi="Times New Roman" w:cs="Times New Roman"/>
        </w:rPr>
        <w:t>, 244 NY, 84, 94.</w:t>
      </w:r>
    </w:p>
  </w:footnote>
  <w:footnote w:id="89">
    <w:p w14:paraId="5AC5F316" w14:textId="372F5575" w:rsidR="00645CE0" w:rsidRPr="00F556DE" w:rsidRDefault="00645CE0" w:rsidP="00ED567F">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“Limited Liability and the Corporation” (1985) 52 U Chi L R 89.</w:t>
      </w:r>
      <w:r w:rsidR="00ED567F">
        <w:rPr>
          <w:rFonts w:ascii="Times New Roman" w:hAnsi="Times New Roman" w:cs="Times New Roman"/>
        </w:rPr>
        <w:t xml:space="preserve"> There is some prospect, not yet realised, of making better predictions of how courts will decide veil piercing cases by using large language models to perform content analysis on previous cases. See P Oh and D Barnard, “The (Large) Language of Veil-Piercing”</w:t>
      </w:r>
      <w:r w:rsidR="009D0078">
        <w:t>,</w:t>
      </w:r>
      <w:r w:rsidR="00ED567F" w:rsidRPr="00ED567F">
        <w:rPr>
          <w:rFonts w:ascii="Times New Roman" w:hAnsi="Times New Roman" w:cs="Times New Roman"/>
        </w:rPr>
        <w:t xml:space="preserve"> U</w:t>
      </w:r>
      <w:r w:rsidR="009D0078">
        <w:rPr>
          <w:rFonts w:ascii="Times New Roman" w:hAnsi="Times New Roman" w:cs="Times New Roman"/>
        </w:rPr>
        <w:t>niversity</w:t>
      </w:r>
      <w:r w:rsidR="00ED567F" w:rsidRPr="00ED567F">
        <w:rPr>
          <w:rFonts w:ascii="Times New Roman" w:hAnsi="Times New Roman" w:cs="Times New Roman"/>
        </w:rPr>
        <w:t xml:space="preserve"> of Pittsburgh Legal Studies Research Paper No. 2026-09</w:t>
      </w:r>
      <w:r w:rsidR="00ED567F">
        <w:rPr>
          <w:rFonts w:ascii="Times New Roman" w:hAnsi="Times New Roman" w:cs="Times New Roman"/>
        </w:rPr>
        <w:t xml:space="preserve"> (available at </w:t>
      </w:r>
      <w:r w:rsidR="00ED567F" w:rsidRPr="00ED567F">
        <w:rPr>
          <w:rFonts w:ascii="Times New Roman" w:hAnsi="Times New Roman" w:cs="Times New Roman"/>
        </w:rPr>
        <w:t>ssrn.com/abstract=6329139</w:t>
      </w:r>
      <w:r w:rsidR="00ED567F">
        <w:rPr>
          <w:rFonts w:ascii="Times New Roman" w:hAnsi="Times New Roman" w:cs="Times New Roman"/>
        </w:rPr>
        <w:t>). Even so, the implications of the technology for how courts should approach veil piercing are unclear.</w:t>
      </w:r>
    </w:p>
  </w:footnote>
  <w:footnote w:id="90">
    <w:p w14:paraId="159504DC" w14:textId="70795009" w:rsidR="00826716" w:rsidRPr="00F556DE" w:rsidRDefault="00826716" w:rsidP="00826716">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Robert B Thompson, </w:t>
      </w:r>
      <w:r w:rsidRPr="00F556DE">
        <w:rPr>
          <w:rFonts w:ascii="Times New Roman" w:hAnsi="Times New Roman" w:cs="Times New Roman"/>
          <w:i/>
          <w:iCs/>
        </w:rPr>
        <w:t>Reframing the Law’s Approach to Limited Liability:  The Centrality of Allocation of Risk</w:t>
      </w:r>
      <w:r w:rsidRPr="00F556DE">
        <w:rPr>
          <w:rFonts w:ascii="Times New Roman" w:hAnsi="Times New Roman" w:cs="Times New Roman"/>
        </w:rPr>
        <w:t xml:space="preserve"> (available at ssrn.com/abstract=6161867).</w:t>
      </w:r>
    </w:p>
  </w:footnote>
  <w:footnote w:id="91">
    <w:p w14:paraId="46F4D80F" w14:textId="2AEF2CB2" w:rsidR="00DC5902" w:rsidRPr="00F556DE" w:rsidRDefault="00DC5902">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p 2.</w:t>
      </w:r>
      <w:r w:rsidR="008B353E" w:rsidRPr="00F556DE">
        <w:rPr>
          <w:rFonts w:ascii="Times New Roman" w:hAnsi="Times New Roman" w:cs="Times New Roman"/>
        </w:rPr>
        <w:t xml:space="preserve"> It is not clear from the paper whether this proposal is put forward only in respect of the tort and tort-like actions of the subsidiary or also in relation to its contractual obligations. The cases discussed in detail in the paper all fall into the former category.</w:t>
      </w:r>
    </w:p>
  </w:footnote>
  <w:footnote w:id="92">
    <w:p w14:paraId="71C08519" w14:textId="1651D51F" w:rsidR="000E4B5D" w:rsidRPr="00F556DE" w:rsidRDefault="000E4B5D" w:rsidP="000E4B5D">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Professor Koenig adds: “While there have been repeated attempts to extend the doctrine of vicarious liability in this direction, it cannot be said that this type of cross-entity liability has really taken hold in any major jurisdiction.” (see following note at p [13]).</w:t>
      </w:r>
    </w:p>
  </w:footnote>
  <w:footnote w:id="93">
    <w:p w14:paraId="670815B8" w14:textId="77777777" w:rsidR="00001A4B" w:rsidRPr="00F556DE" w:rsidRDefault="00001A4B" w:rsidP="00001A4B">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P Morgan, “Vicarious liability for group companies: the final frontier of vicarious liability?” (2015) </w:t>
      </w:r>
      <w:r w:rsidRPr="00F556DE">
        <w:rPr>
          <w:rFonts w:ascii="Times New Roman" w:hAnsi="Times New Roman" w:cs="Times New Roman"/>
          <w:i/>
          <w:iCs/>
        </w:rPr>
        <w:t xml:space="preserve">Journal of Professional Negligence </w:t>
      </w:r>
      <w:r w:rsidRPr="00F556DE">
        <w:rPr>
          <w:rFonts w:ascii="Times New Roman" w:hAnsi="Times New Roman" w:cs="Times New Roman"/>
        </w:rPr>
        <w:t xml:space="preserve">276; Koenig, “The Rise of Corporate Cross-Entity Liability:  Which Doctrine for What Purpose?” (2024) 35 </w:t>
      </w:r>
      <w:r w:rsidRPr="00F556DE">
        <w:rPr>
          <w:rFonts w:ascii="Times New Roman" w:hAnsi="Times New Roman" w:cs="Times New Roman"/>
          <w:i/>
          <w:iCs/>
        </w:rPr>
        <w:t xml:space="preserve">European Business Law Review </w:t>
      </w:r>
      <w:r w:rsidRPr="00F556DE">
        <w:rPr>
          <w:rFonts w:ascii="Times New Roman" w:hAnsi="Times New Roman" w:cs="Times New Roman"/>
        </w:rPr>
        <w:t>343.</w:t>
      </w:r>
    </w:p>
  </w:footnote>
  <w:footnote w:id="94">
    <w:p w14:paraId="47D7E87F" w14:textId="2981B1C1" w:rsidR="00D843C9" w:rsidRPr="00F556DE" w:rsidRDefault="00D843C9">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p 276.</w:t>
      </w:r>
    </w:p>
  </w:footnote>
  <w:footnote w:id="95">
    <w:p w14:paraId="6E9363DD" w14:textId="5FD6F1EE" w:rsidR="00CD2611" w:rsidRPr="00F556DE" w:rsidRDefault="00CD2611" w:rsidP="006E1260">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Sometimes he refers to vicarious liability for subsidiaries’ torts; more often to liability for subsidiaries’ “breaches of law”, but the latter term is probably intended to exclude liability for breach of contract.</w:t>
      </w:r>
    </w:p>
  </w:footnote>
  <w:footnote w:id="96">
    <w:p w14:paraId="4AA2B025" w14:textId="67E4EBB7" w:rsidR="00B22186" w:rsidRPr="00F556DE" w:rsidRDefault="00B22186">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At 297.</w:t>
      </w:r>
    </w:p>
  </w:footnote>
  <w:footnote w:id="97">
    <w:p w14:paraId="1044D270" w14:textId="7BE53413" w:rsidR="006E1260" w:rsidRPr="006E1260" w:rsidRDefault="006E1260" w:rsidP="00C240A2">
      <w:pPr>
        <w:pStyle w:val="aa"/>
        <w:jc w:val="both"/>
        <w:rPr>
          <w:rFonts w:ascii="Times New Roman" w:hAnsi="Times New Roman" w:cs="Times New Roman"/>
        </w:rPr>
      </w:pPr>
      <w:r>
        <w:rPr>
          <w:rStyle w:val="ab"/>
        </w:rPr>
        <w:footnoteRef/>
      </w:r>
      <w:r>
        <w:t xml:space="preserve"> </w:t>
      </w:r>
      <w:r>
        <w:rPr>
          <w:rFonts w:ascii="Times New Roman" w:hAnsi="Times New Roman" w:cs="Times New Roman"/>
        </w:rPr>
        <w:t>As David Goddard</w:t>
      </w:r>
      <w:r w:rsidR="007333B1">
        <w:rPr>
          <w:rFonts w:ascii="Times New Roman" w:hAnsi="Times New Roman" w:cs="Times New Roman"/>
        </w:rPr>
        <w:t xml:space="preserve"> (until recently a judge of the New Zealand Court of Appeal) </w:t>
      </w:r>
      <w:r>
        <w:rPr>
          <w:rFonts w:ascii="Times New Roman" w:hAnsi="Times New Roman" w:cs="Times New Roman"/>
        </w:rPr>
        <w:t>has written</w:t>
      </w:r>
      <w:r w:rsidR="007333B1">
        <w:rPr>
          <w:rFonts w:ascii="Times New Roman" w:hAnsi="Times New Roman" w:cs="Times New Roman"/>
        </w:rPr>
        <w:t xml:space="preserve"> extra</w:t>
      </w:r>
      <w:r w:rsidR="00C3766C">
        <w:rPr>
          <w:rFonts w:ascii="Times New Roman" w:hAnsi="Times New Roman" w:cs="Times New Roman"/>
        </w:rPr>
        <w:t>-</w:t>
      </w:r>
      <w:r w:rsidR="007333B1">
        <w:rPr>
          <w:rFonts w:ascii="Times New Roman" w:hAnsi="Times New Roman" w:cs="Times New Roman"/>
        </w:rPr>
        <w:t>judicially</w:t>
      </w:r>
      <w:r>
        <w:rPr>
          <w:rFonts w:ascii="Times New Roman" w:hAnsi="Times New Roman" w:cs="Times New Roman"/>
        </w:rPr>
        <w:t xml:space="preserve">: </w:t>
      </w:r>
      <w:r w:rsidR="007333B1">
        <w:rPr>
          <w:rFonts w:ascii="Times New Roman" w:hAnsi="Times New Roman" w:cs="Times New Roman"/>
        </w:rPr>
        <w:t>v</w:t>
      </w:r>
      <w:r>
        <w:rPr>
          <w:rFonts w:ascii="Times New Roman" w:hAnsi="Times New Roman" w:cs="Times New Roman"/>
        </w:rPr>
        <w:t xml:space="preserve">icarious liability “is where the practical importance of limited liability </w:t>
      </w:r>
      <w:proofErr w:type="gramStart"/>
      <w:r>
        <w:rPr>
          <w:rFonts w:ascii="Times New Roman" w:hAnsi="Times New Roman" w:cs="Times New Roman"/>
        </w:rPr>
        <w:t>lies:</w:t>
      </w:r>
      <w:proofErr w:type="gramEnd"/>
      <w:r>
        <w:rPr>
          <w:rFonts w:ascii="Times New Roman" w:hAnsi="Times New Roman" w:cs="Times New Roman"/>
        </w:rPr>
        <w:t xml:space="preserve"> it is a shelter from liability on the part of owners who are not at fault.” (D Goddard, “Corporate Personality – Limited Recourse and its Limits” in </w:t>
      </w:r>
      <w:r w:rsidR="00C240A2">
        <w:rPr>
          <w:rFonts w:ascii="Times New Roman" w:hAnsi="Times New Roman" w:cs="Times New Roman"/>
        </w:rPr>
        <w:t xml:space="preserve">R Grantham and C Rickett (eds), </w:t>
      </w:r>
      <w:r>
        <w:rPr>
          <w:rFonts w:ascii="Times New Roman" w:hAnsi="Times New Roman" w:cs="Times New Roman"/>
          <w:i/>
          <w:iCs/>
        </w:rPr>
        <w:t>Corporate Personality in the 20</w:t>
      </w:r>
      <w:r w:rsidRPr="006E1260">
        <w:rPr>
          <w:rFonts w:ascii="Times New Roman" w:hAnsi="Times New Roman" w:cs="Times New Roman"/>
          <w:i/>
          <w:iCs/>
          <w:vertAlign w:val="superscript"/>
        </w:rPr>
        <w:t>th</w:t>
      </w:r>
      <w:r>
        <w:rPr>
          <w:rFonts w:ascii="Times New Roman" w:hAnsi="Times New Roman" w:cs="Times New Roman"/>
          <w:i/>
          <w:iCs/>
        </w:rPr>
        <w:t xml:space="preserve"> Century</w:t>
      </w:r>
      <w:r>
        <w:rPr>
          <w:rFonts w:ascii="Times New Roman" w:hAnsi="Times New Roman" w:cs="Times New Roman"/>
        </w:rPr>
        <w:t xml:space="preserve"> (1998) at 36.)</w:t>
      </w:r>
    </w:p>
  </w:footnote>
  <w:footnote w:id="98">
    <w:p w14:paraId="3B7EA61B" w14:textId="6F58AFA0" w:rsidR="002358A6" w:rsidRPr="00F556DE" w:rsidRDefault="002358A6">
      <w:pPr>
        <w:pStyle w:val="aa"/>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As Professor Koenig recognises (at p [6])</w:t>
      </w:r>
    </w:p>
  </w:footnote>
  <w:footnote w:id="99">
    <w:p w14:paraId="06595457" w14:textId="0909BC9A" w:rsidR="00A76473" w:rsidRPr="00F556DE" w:rsidRDefault="00A76473" w:rsidP="00E051D7">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Professor Morgan states: “There is a moral notion underpinning the doctrine of vicarious liability that where I assign a purposeful role to another, I am liable for that other if I have the power (legal or factual) to control exactly how they carry out this role (even if I do not exercise this power and would never exercise it), and I can exercise sufficient control over the day-to-day side.” (at p 290)</w:t>
      </w:r>
      <w:r w:rsidR="00E051D7">
        <w:rPr>
          <w:rFonts w:ascii="Times New Roman" w:hAnsi="Times New Roman" w:cs="Times New Roman"/>
        </w:rPr>
        <w:t>.</w:t>
      </w:r>
    </w:p>
  </w:footnote>
  <w:footnote w:id="100">
    <w:p w14:paraId="696BE181" w14:textId="4754668D" w:rsidR="00C240A2" w:rsidRPr="00C240A2" w:rsidRDefault="00C240A2">
      <w:pPr>
        <w:pStyle w:val="aa"/>
        <w:rPr>
          <w:rFonts w:ascii="Times New Roman" w:hAnsi="Times New Roman" w:cs="Times New Roman"/>
        </w:rPr>
      </w:pPr>
      <w:r>
        <w:rPr>
          <w:rStyle w:val="ab"/>
        </w:rPr>
        <w:footnoteRef/>
      </w:r>
      <w:r>
        <w:t xml:space="preserve"> </w:t>
      </w:r>
      <w:r>
        <w:rPr>
          <w:rFonts w:ascii="Times New Roman" w:hAnsi="Times New Roman" w:cs="Times New Roman"/>
        </w:rPr>
        <w:t xml:space="preserve">Above, text attached to n </w:t>
      </w:r>
      <w:r w:rsidR="00AE5FCC">
        <w:rPr>
          <w:rFonts w:ascii="Times New Roman" w:hAnsi="Times New Roman" w:cs="Times New Roman"/>
        </w:rPr>
        <w:t>[7</w:t>
      </w:r>
      <w:r w:rsidR="00563E6D">
        <w:rPr>
          <w:rFonts w:ascii="Times New Roman" w:hAnsi="Times New Roman" w:cs="Times New Roman"/>
        </w:rPr>
        <w:t>8</w:t>
      </w:r>
      <w:r w:rsidR="00AE5FCC">
        <w:rPr>
          <w:rFonts w:ascii="Times New Roman" w:hAnsi="Times New Roman" w:cs="Times New Roman"/>
        </w:rPr>
        <w:t>-7</w:t>
      </w:r>
      <w:r w:rsidR="00563E6D">
        <w:rPr>
          <w:rFonts w:ascii="Times New Roman" w:hAnsi="Times New Roman" w:cs="Times New Roman"/>
        </w:rPr>
        <w:t>9</w:t>
      </w:r>
      <w:r w:rsidR="00AE5FCC">
        <w:rPr>
          <w:rFonts w:ascii="Times New Roman" w:hAnsi="Times New Roman" w:cs="Times New Roman"/>
        </w:rPr>
        <w:t>].</w:t>
      </w:r>
    </w:p>
  </w:footnote>
  <w:footnote w:id="101">
    <w:p w14:paraId="435CFF95" w14:textId="0F33B28F" w:rsidR="00313702" w:rsidRPr="00313702" w:rsidRDefault="00313702">
      <w:pPr>
        <w:pStyle w:val="aa"/>
        <w:rPr>
          <w:rFonts w:ascii="Times New Roman" w:hAnsi="Times New Roman" w:cs="Times New Roman"/>
        </w:rPr>
      </w:pPr>
      <w:r>
        <w:rPr>
          <w:rStyle w:val="ab"/>
        </w:rPr>
        <w:footnoteRef/>
      </w:r>
      <w:r>
        <w:t xml:space="preserve"> </w:t>
      </w:r>
      <w:r>
        <w:rPr>
          <w:rFonts w:ascii="Times New Roman" w:hAnsi="Times New Roman" w:cs="Times New Roman"/>
        </w:rPr>
        <w:t xml:space="preserve">An official text of the consolidated version of this Directive is not currently available. </w:t>
      </w:r>
    </w:p>
  </w:footnote>
  <w:footnote w:id="102">
    <w:p w14:paraId="7C028ACB" w14:textId="685F59E8" w:rsidR="00CB5374" w:rsidRPr="00F556DE" w:rsidRDefault="00CB5374" w:rsidP="00CB5374">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The fact that the treaties </w:t>
      </w:r>
      <w:r w:rsidR="00077923" w:rsidRPr="00F556DE">
        <w:rPr>
          <w:rFonts w:ascii="Times New Roman" w:hAnsi="Times New Roman" w:cs="Times New Roman"/>
        </w:rPr>
        <w:t xml:space="preserve">referenced in the Directive, when originally adopted, </w:t>
      </w:r>
      <w:r w:rsidRPr="00F556DE">
        <w:rPr>
          <w:rFonts w:ascii="Times New Roman" w:hAnsi="Times New Roman" w:cs="Times New Roman"/>
        </w:rPr>
        <w:t xml:space="preserve">were </w:t>
      </w:r>
      <w:r w:rsidR="00077923" w:rsidRPr="00F556DE">
        <w:rPr>
          <w:rFonts w:ascii="Times New Roman" w:hAnsi="Times New Roman" w:cs="Times New Roman"/>
        </w:rPr>
        <w:t>concerned with</w:t>
      </w:r>
      <w:r w:rsidRPr="00F556DE">
        <w:rPr>
          <w:rFonts w:ascii="Times New Roman" w:hAnsi="Times New Roman" w:cs="Times New Roman"/>
        </w:rPr>
        <w:t xml:space="preserve"> imposing obligations on states makes their application to companies a matter of some difficulty. For example, assuming Cape plc to be a covered company, the facts of </w:t>
      </w:r>
      <w:r w:rsidRPr="00F556DE">
        <w:rPr>
          <w:rFonts w:ascii="Times New Roman" w:hAnsi="Times New Roman" w:cs="Times New Roman"/>
          <w:i/>
          <w:iCs/>
        </w:rPr>
        <w:t xml:space="preserve">Chandler </w:t>
      </w:r>
      <w:r w:rsidRPr="00F556DE">
        <w:rPr>
          <w:rFonts w:ascii="Times New Roman" w:hAnsi="Times New Roman" w:cs="Times New Roman"/>
        </w:rPr>
        <w:t>are probably</w:t>
      </w:r>
      <w:r w:rsidR="00077923" w:rsidRPr="00F556DE">
        <w:rPr>
          <w:rFonts w:ascii="Times New Roman" w:hAnsi="Times New Roman" w:cs="Times New Roman"/>
        </w:rPr>
        <w:t xml:space="preserve"> within</w:t>
      </w:r>
      <w:r w:rsidRPr="00F556DE">
        <w:rPr>
          <w:rFonts w:ascii="Times New Roman" w:hAnsi="Times New Roman" w:cs="Times New Roman"/>
        </w:rPr>
        <w:t xml:space="preserve"> one of the </w:t>
      </w:r>
      <w:r w:rsidR="00077923" w:rsidRPr="00F556DE">
        <w:rPr>
          <w:rFonts w:ascii="Times New Roman" w:hAnsi="Times New Roman" w:cs="Times New Roman"/>
        </w:rPr>
        <w:t xml:space="preserve">references </w:t>
      </w:r>
      <w:r w:rsidRPr="00F556DE">
        <w:rPr>
          <w:rFonts w:ascii="Times New Roman" w:hAnsi="Times New Roman" w:cs="Times New Roman"/>
        </w:rPr>
        <w:t xml:space="preserve">ILO conventions dealing with safe systems of work, but the facts of </w:t>
      </w:r>
      <w:r w:rsidRPr="00F556DE">
        <w:rPr>
          <w:rFonts w:ascii="Times New Roman" w:hAnsi="Times New Roman" w:cs="Times New Roman"/>
          <w:i/>
          <w:iCs/>
        </w:rPr>
        <w:t>Adams</w:t>
      </w:r>
      <w:r w:rsidRPr="00F556DE">
        <w:rPr>
          <w:rFonts w:ascii="Times New Roman" w:hAnsi="Times New Roman" w:cs="Times New Roman"/>
        </w:rPr>
        <w:t>, where Cape was a supplier of asbestos but not the employer, are probably not.</w:t>
      </w:r>
    </w:p>
  </w:footnote>
  <w:footnote w:id="103">
    <w:p w14:paraId="4D57E76E" w14:textId="7AFD4189" w:rsidR="00077923" w:rsidRPr="00F556DE" w:rsidRDefault="00077923" w:rsidP="0009264B">
      <w:pPr>
        <w:pStyle w:val="aa"/>
        <w:jc w:val="both"/>
        <w:rPr>
          <w:rFonts w:ascii="Times New Roman" w:hAnsi="Times New Roman" w:cs="Times New Roman"/>
        </w:rPr>
      </w:pPr>
      <w:r w:rsidRPr="00F556DE">
        <w:rPr>
          <w:rStyle w:val="ab"/>
          <w:rFonts w:ascii="Times New Roman" w:hAnsi="Times New Roman" w:cs="Times New Roman"/>
        </w:rPr>
        <w:footnoteRef/>
      </w:r>
      <w:r w:rsidRPr="00F556DE">
        <w:rPr>
          <w:rFonts w:ascii="Times New Roman" w:hAnsi="Times New Roman" w:cs="Times New Roman"/>
        </w:rPr>
        <w:t xml:space="preserve"> The EU Directive was partly inspired by the prior French</w:t>
      </w:r>
      <w:r w:rsidR="002E14EA" w:rsidRPr="00F556DE">
        <w:rPr>
          <w:rFonts w:ascii="Times New Roman" w:hAnsi="Times New Roman" w:cs="Times New Roman"/>
        </w:rPr>
        <w:t xml:space="preserve"> law </w:t>
      </w:r>
      <w:r w:rsidR="0009264B" w:rsidRPr="00F556DE">
        <w:rPr>
          <w:rFonts w:ascii="Times New Roman" w:hAnsi="Times New Roman" w:cs="Times New Roman"/>
        </w:rPr>
        <w:t>on</w:t>
      </w:r>
      <w:r w:rsidR="002E14EA" w:rsidRPr="00F556DE">
        <w:rPr>
          <w:rFonts w:ascii="Times New Roman" w:hAnsi="Times New Roman" w:cs="Times New Roman"/>
        </w:rPr>
        <w:t xml:space="preserve"> a “duty of vigilance”</w:t>
      </w:r>
      <w:r w:rsidR="0009264B" w:rsidRPr="00F556DE">
        <w:rPr>
          <w:rFonts w:ascii="Times New Roman" w:hAnsi="Times New Roman" w:cs="Times New Roman"/>
        </w:rPr>
        <w:t xml:space="preserve"> for companies</w:t>
      </w:r>
      <w:r w:rsidR="002E14EA" w:rsidRPr="00F556DE">
        <w:rPr>
          <w:rFonts w:ascii="Times New Roman" w:hAnsi="Times New Roman" w:cs="Times New Roman"/>
        </w:rPr>
        <w:t>: law no.2017-399, introducing new provisions into the French Commercial Code (L.225-102-4/5).</w:t>
      </w:r>
      <w:r w:rsidR="0009264B" w:rsidRPr="00F556DE">
        <w:rPr>
          <w:rFonts w:ascii="Times New Roman" w:hAnsi="Times New Roman" w:cs="Times New Roman"/>
        </w:rPr>
        <w:t xml:space="preserve"> See A </w:t>
      </w:r>
      <w:proofErr w:type="spellStart"/>
      <w:r w:rsidR="0009264B" w:rsidRPr="00F556DE">
        <w:rPr>
          <w:rFonts w:ascii="Times New Roman" w:hAnsi="Times New Roman" w:cs="Times New Roman"/>
        </w:rPr>
        <w:t>Pietrancosta</w:t>
      </w:r>
      <w:proofErr w:type="spellEnd"/>
      <w:r w:rsidR="0009264B" w:rsidRPr="00F556DE">
        <w:rPr>
          <w:rFonts w:ascii="Times New Roman" w:hAnsi="Times New Roman" w:cs="Times New Roman"/>
        </w:rPr>
        <w:t xml:space="preserve">, </w:t>
      </w:r>
      <w:r w:rsidR="0009264B" w:rsidRPr="00F556DE">
        <w:rPr>
          <w:rFonts w:ascii="Times New Roman" w:hAnsi="Times New Roman" w:cs="Times New Roman"/>
          <w:i/>
          <w:iCs/>
        </w:rPr>
        <w:t>Codification in Company Law of General CSR Requirements</w:t>
      </w:r>
      <w:r w:rsidR="0009264B" w:rsidRPr="00F556DE">
        <w:rPr>
          <w:rFonts w:ascii="Times New Roman" w:hAnsi="Times New Roman" w:cs="Times New Roman"/>
        </w:rPr>
        <w:t>, ECGI, Law Working Paper N° 639/2022, April 2022.</w:t>
      </w:r>
    </w:p>
  </w:footnote>
  <w:footnote w:id="104">
    <w:p w14:paraId="2F04E36A" w14:textId="63DCA81A" w:rsidR="00402AC1" w:rsidRPr="00D60E3C" w:rsidRDefault="00402AC1">
      <w:pPr>
        <w:pStyle w:val="aa"/>
        <w:rPr>
          <w:rFonts w:ascii="Times New Roman" w:hAnsi="Times New Roman" w:cs="Times New Roman"/>
        </w:rPr>
      </w:pPr>
      <w:r w:rsidRPr="00D60E3C">
        <w:rPr>
          <w:rStyle w:val="ab"/>
          <w:rFonts w:ascii="Times New Roman" w:hAnsi="Times New Roman" w:cs="Times New Roman"/>
        </w:rPr>
        <w:footnoteRef/>
      </w:r>
      <w:r w:rsidRPr="00D60E3C">
        <w:rPr>
          <w:rFonts w:ascii="Times New Roman" w:hAnsi="Times New Roman" w:cs="Times New Roman"/>
        </w:rPr>
        <w:t xml:space="preserve"> Above n </w:t>
      </w:r>
      <w:r w:rsidR="00313702">
        <w:rPr>
          <w:rFonts w:ascii="Times New Roman" w:hAnsi="Times New Roman" w:cs="Times New Roman"/>
        </w:rPr>
        <w:t>27</w:t>
      </w:r>
      <w:r w:rsidRPr="00D60E3C">
        <w:rPr>
          <w:rFonts w:ascii="Times New Roman" w:hAnsi="Times New Roman" w:cs="Times New Roman"/>
        </w:rPr>
        <w:t xml:space="preserve"> at 1881.</w:t>
      </w:r>
    </w:p>
  </w:footnote>
  <w:footnote w:id="105">
    <w:p w14:paraId="47E87413" w14:textId="2F70E186" w:rsidR="00D60E3C" w:rsidRPr="00D60E3C" w:rsidRDefault="00D60E3C">
      <w:pPr>
        <w:pStyle w:val="aa"/>
        <w:rPr>
          <w:rFonts w:ascii="Times New Roman" w:hAnsi="Times New Roman" w:cs="Times New Roman"/>
        </w:rPr>
      </w:pPr>
      <w:r w:rsidRPr="00D60E3C">
        <w:rPr>
          <w:rStyle w:val="ab"/>
          <w:rFonts w:ascii="Times New Roman" w:hAnsi="Times New Roman" w:cs="Times New Roman"/>
        </w:rPr>
        <w:footnoteRef/>
      </w:r>
      <w:r>
        <w:t xml:space="preserve"> </w:t>
      </w:r>
      <w:r>
        <w:rPr>
          <w:rFonts w:ascii="Times New Roman" w:hAnsi="Times New Roman" w:cs="Times New Roman"/>
        </w:rPr>
        <w:t xml:space="preserve">Above n </w:t>
      </w:r>
      <w:r w:rsidR="00AB1EF1">
        <w:rPr>
          <w:rFonts w:ascii="Times New Roman" w:hAnsi="Times New Roman" w:cs="Times New Roman"/>
        </w:rPr>
        <w:t>57</w:t>
      </w:r>
      <w:r>
        <w:rPr>
          <w:rFonts w:ascii="Times New Roman" w:hAnsi="Times New Roman" w:cs="Times New Roman"/>
        </w:rPr>
        <w:t>.</w:t>
      </w:r>
    </w:p>
  </w:footnote>
  <w:footnote w:id="106">
    <w:p w14:paraId="4DA57196" w14:textId="71326AF3" w:rsidR="00E97A06" w:rsidRPr="00E97A06" w:rsidRDefault="00E97A06">
      <w:pPr>
        <w:pStyle w:val="aa"/>
        <w:rPr>
          <w:rFonts w:ascii="Times New Roman" w:hAnsi="Times New Roman" w:cs="Times New Roman"/>
        </w:rPr>
      </w:pPr>
      <w:r>
        <w:rPr>
          <w:rStyle w:val="ab"/>
        </w:rPr>
        <w:footnoteRef/>
      </w:r>
      <w:r>
        <w:t xml:space="preserve"> </w:t>
      </w:r>
      <w:r>
        <w:rPr>
          <w:rFonts w:ascii="Times New Roman" w:hAnsi="Times New Roman" w:cs="Times New Roman"/>
        </w:rPr>
        <w:t xml:space="preserve">As indeed appears to be the case in </w:t>
      </w:r>
      <w:r w:rsidRPr="00F556DE">
        <w:rPr>
          <w:rFonts w:ascii="Times New Roman" w:hAnsi="Times New Roman" w:cs="Times New Roman"/>
          <w:i/>
          <w:iCs/>
        </w:rPr>
        <w:t xml:space="preserve">Limbu v Dyson Technology Ltd </w:t>
      </w:r>
      <w:r w:rsidRPr="00F556DE">
        <w:rPr>
          <w:rFonts w:ascii="Times New Roman" w:hAnsi="Times New Roman" w:cs="Times New Roman"/>
        </w:rPr>
        <w:t xml:space="preserve">[2024] EWCA </w:t>
      </w:r>
      <w:proofErr w:type="spellStart"/>
      <w:r w:rsidRPr="00F556DE">
        <w:rPr>
          <w:rFonts w:ascii="Times New Roman" w:hAnsi="Times New Roman" w:cs="Times New Roman"/>
        </w:rPr>
        <w:t>Civ</w:t>
      </w:r>
      <w:proofErr w:type="spellEnd"/>
      <w:r w:rsidRPr="00F556DE">
        <w:rPr>
          <w:rFonts w:ascii="Times New Roman" w:hAnsi="Times New Roman" w:cs="Times New Roman"/>
        </w:rPr>
        <w:t xml:space="preserve"> 1564</w:t>
      </w:r>
      <w:r>
        <w:rPr>
          <w:rFonts w:ascii="Times New Roman" w:hAnsi="Times New Roman" w:cs="Times New Roman"/>
        </w:rPr>
        <w:t xml:space="preserve"> (where the harm was alleged to have been inflicted principally by a contractor).</w:t>
      </w:r>
    </w:p>
  </w:footnote>
  <w:footnote w:id="107">
    <w:p w14:paraId="6E5EC7B6" w14:textId="77777777" w:rsidR="00ED6201" w:rsidRPr="00893445" w:rsidRDefault="00ED6201" w:rsidP="00ED6201">
      <w:pPr>
        <w:pStyle w:val="aa"/>
        <w:jc w:val="both"/>
        <w:rPr>
          <w:rFonts w:ascii="Times New Roman" w:hAnsi="Times New Roman" w:cs="Times New Roman"/>
        </w:rPr>
      </w:pPr>
      <w:r>
        <w:rPr>
          <w:rStyle w:val="ab"/>
        </w:rPr>
        <w:footnoteRef/>
      </w:r>
      <w:r>
        <w:t xml:space="preserve"> </w:t>
      </w:r>
      <w:r>
        <w:rPr>
          <w:rFonts w:ascii="Times New Roman" w:hAnsi="Times New Roman" w:cs="Times New Roman"/>
        </w:rPr>
        <w:t xml:space="preserve">The attempt of some of those judges to break out of this constraint was effectively quashed in </w:t>
      </w:r>
      <w:proofErr w:type="spellStart"/>
      <w:r>
        <w:rPr>
          <w:rFonts w:ascii="Times New Roman" w:hAnsi="Times New Roman" w:cs="Times New Roman"/>
          <w:i/>
          <w:iCs/>
        </w:rPr>
        <w:t>Petrodel</w:t>
      </w:r>
      <w:proofErr w:type="spellEnd"/>
      <w:r>
        <w:rPr>
          <w:rFonts w:ascii="Times New Roman" w:hAnsi="Times New Roman" w:cs="Times New Roman"/>
          <w:i/>
          <w:iCs/>
        </w:rPr>
        <w:t xml:space="preserve"> Resources Ltd v Prest</w:t>
      </w:r>
      <w:r>
        <w:rPr>
          <w:rFonts w:ascii="Times New Roman" w:hAnsi="Times New Roman" w:cs="Times New Roman"/>
        </w:rPr>
        <w:t>, above n 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C37"/>
    <w:multiLevelType w:val="hybridMultilevel"/>
    <w:tmpl w:val="A6382628"/>
    <w:lvl w:ilvl="0" w:tplc="C478D0D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B646C"/>
    <w:multiLevelType w:val="hybridMultilevel"/>
    <w:tmpl w:val="3392C67C"/>
    <w:lvl w:ilvl="0" w:tplc="122CA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244A0"/>
    <w:multiLevelType w:val="hybridMultilevel"/>
    <w:tmpl w:val="87729932"/>
    <w:lvl w:ilvl="0" w:tplc="42A89FE4">
      <w:start w:val="1"/>
      <w:numFmt w:val="lowerRoman"/>
      <w:lvlText w:val="%1."/>
      <w:lvlJc w:val="left"/>
      <w:pPr>
        <w:ind w:left="1080" w:hanging="72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CE01215"/>
    <w:multiLevelType w:val="hybridMultilevel"/>
    <w:tmpl w:val="992A5100"/>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C9217A"/>
    <w:multiLevelType w:val="hybridMultilevel"/>
    <w:tmpl w:val="3ADEE0F4"/>
    <w:lvl w:ilvl="0" w:tplc="415CBDB4">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D23F44"/>
    <w:multiLevelType w:val="hybridMultilevel"/>
    <w:tmpl w:val="5790B26E"/>
    <w:lvl w:ilvl="0" w:tplc="9A508CC6">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622D20"/>
    <w:multiLevelType w:val="hybridMultilevel"/>
    <w:tmpl w:val="B66AA09A"/>
    <w:lvl w:ilvl="0" w:tplc="48090015">
      <w:start w:val="1"/>
      <w:numFmt w:val="upperLetter"/>
      <w:lvlText w:val="%1."/>
      <w:lvlJc w:val="left"/>
      <w:pPr>
        <w:ind w:left="786"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491408569">
    <w:abstractNumId w:val="5"/>
  </w:num>
  <w:num w:numId="2" w16cid:durableId="912278517">
    <w:abstractNumId w:val="3"/>
  </w:num>
  <w:num w:numId="3" w16cid:durableId="1089078465">
    <w:abstractNumId w:val="4"/>
  </w:num>
  <w:num w:numId="4" w16cid:durableId="267742516">
    <w:abstractNumId w:val="1"/>
  </w:num>
  <w:num w:numId="5" w16cid:durableId="951009507">
    <w:abstractNumId w:val="0"/>
  </w:num>
  <w:num w:numId="6" w16cid:durableId="1928341182">
    <w:abstractNumId w:val="6"/>
  </w:num>
  <w:num w:numId="7" w16cid:durableId="209095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E1"/>
    <w:rsid w:val="00000FD7"/>
    <w:rsid w:val="00001A4B"/>
    <w:rsid w:val="00003DC3"/>
    <w:rsid w:val="00004E87"/>
    <w:rsid w:val="00012B5C"/>
    <w:rsid w:val="000155CE"/>
    <w:rsid w:val="00025BAF"/>
    <w:rsid w:val="000321D8"/>
    <w:rsid w:val="00046AFA"/>
    <w:rsid w:val="000479F6"/>
    <w:rsid w:val="00047F53"/>
    <w:rsid w:val="000534DD"/>
    <w:rsid w:val="000633C1"/>
    <w:rsid w:val="000650A6"/>
    <w:rsid w:val="00077923"/>
    <w:rsid w:val="00084C77"/>
    <w:rsid w:val="000900F2"/>
    <w:rsid w:val="0009264B"/>
    <w:rsid w:val="00097366"/>
    <w:rsid w:val="00097EC1"/>
    <w:rsid w:val="000A79E0"/>
    <w:rsid w:val="000B1C75"/>
    <w:rsid w:val="000C080D"/>
    <w:rsid w:val="000D0A8C"/>
    <w:rsid w:val="000D0D3F"/>
    <w:rsid w:val="000D1AAA"/>
    <w:rsid w:val="000D6F97"/>
    <w:rsid w:val="000D7B2E"/>
    <w:rsid w:val="000E0876"/>
    <w:rsid w:val="000E3617"/>
    <w:rsid w:val="000E4B5D"/>
    <w:rsid w:val="000E588F"/>
    <w:rsid w:val="000F7C3E"/>
    <w:rsid w:val="001000F7"/>
    <w:rsid w:val="00104576"/>
    <w:rsid w:val="00105DAF"/>
    <w:rsid w:val="00124683"/>
    <w:rsid w:val="00125D70"/>
    <w:rsid w:val="00151969"/>
    <w:rsid w:val="00160C81"/>
    <w:rsid w:val="00161146"/>
    <w:rsid w:val="00170AFE"/>
    <w:rsid w:val="00172499"/>
    <w:rsid w:val="00173544"/>
    <w:rsid w:val="0017371F"/>
    <w:rsid w:val="0018160B"/>
    <w:rsid w:val="00185E30"/>
    <w:rsid w:val="00196685"/>
    <w:rsid w:val="001B0CD1"/>
    <w:rsid w:val="001C6D42"/>
    <w:rsid w:val="001D2831"/>
    <w:rsid w:val="001E4C48"/>
    <w:rsid w:val="001E65D1"/>
    <w:rsid w:val="0020058F"/>
    <w:rsid w:val="00206A9A"/>
    <w:rsid w:val="00212EDC"/>
    <w:rsid w:val="002166B2"/>
    <w:rsid w:val="0023530E"/>
    <w:rsid w:val="002358A6"/>
    <w:rsid w:val="00236615"/>
    <w:rsid w:val="00237D21"/>
    <w:rsid w:val="00241F23"/>
    <w:rsid w:val="002427A6"/>
    <w:rsid w:val="002441D3"/>
    <w:rsid w:val="00250AAF"/>
    <w:rsid w:val="00253F9E"/>
    <w:rsid w:val="00254311"/>
    <w:rsid w:val="00254401"/>
    <w:rsid w:val="00261493"/>
    <w:rsid w:val="00267F6C"/>
    <w:rsid w:val="00272983"/>
    <w:rsid w:val="002735C7"/>
    <w:rsid w:val="00293D32"/>
    <w:rsid w:val="002C0E59"/>
    <w:rsid w:val="002D27D2"/>
    <w:rsid w:val="002E14EA"/>
    <w:rsid w:val="002E6482"/>
    <w:rsid w:val="002E76E9"/>
    <w:rsid w:val="003045E9"/>
    <w:rsid w:val="003066FC"/>
    <w:rsid w:val="00313702"/>
    <w:rsid w:val="00317C66"/>
    <w:rsid w:val="0032223F"/>
    <w:rsid w:val="0033091E"/>
    <w:rsid w:val="00337311"/>
    <w:rsid w:val="003418DF"/>
    <w:rsid w:val="00357180"/>
    <w:rsid w:val="0036393D"/>
    <w:rsid w:val="00365617"/>
    <w:rsid w:val="00366489"/>
    <w:rsid w:val="0037651D"/>
    <w:rsid w:val="00377BD1"/>
    <w:rsid w:val="00380752"/>
    <w:rsid w:val="00380E42"/>
    <w:rsid w:val="0038130B"/>
    <w:rsid w:val="00382096"/>
    <w:rsid w:val="00383ABC"/>
    <w:rsid w:val="00384A6C"/>
    <w:rsid w:val="00385247"/>
    <w:rsid w:val="00390972"/>
    <w:rsid w:val="00391133"/>
    <w:rsid w:val="003B2A9A"/>
    <w:rsid w:val="003C0FA4"/>
    <w:rsid w:val="003C3439"/>
    <w:rsid w:val="003C506E"/>
    <w:rsid w:val="003C7136"/>
    <w:rsid w:val="003C7CC5"/>
    <w:rsid w:val="003D5632"/>
    <w:rsid w:val="003D61E1"/>
    <w:rsid w:val="003E2004"/>
    <w:rsid w:val="003E2433"/>
    <w:rsid w:val="003E6669"/>
    <w:rsid w:val="003E7459"/>
    <w:rsid w:val="003F1447"/>
    <w:rsid w:val="003F1478"/>
    <w:rsid w:val="003F230D"/>
    <w:rsid w:val="004013E6"/>
    <w:rsid w:val="00402AC1"/>
    <w:rsid w:val="00407DD7"/>
    <w:rsid w:val="00417AE4"/>
    <w:rsid w:val="0042135A"/>
    <w:rsid w:val="004309A5"/>
    <w:rsid w:val="00430F40"/>
    <w:rsid w:val="004313CA"/>
    <w:rsid w:val="0044133E"/>
    <w:rsid w:val="00442AE8"/>
    <w:rsid w:val="00454F2D"/>
    <w:rsid w:val="004571D3"/>
    <w:rsid w:val="00464A36"/>
    <w:rsid w:val="00472329"/>
    <w:rsid w:val="00472DB5"/>
    <w:rsid w:val="00474416"/>
    <w:rsid w:val="004772F8"/>
    <w:rsid w:val="00487CB3"/>
    <w:rsid w:val="00494F64"/>
    <w:rsid w:val="00496EBD"/>
    <w:rsid w:val="004A0BE5"/>
    <w:rsid w:val="004A11B8"/>
    <w:rsid w:val="004A4CD6"/>
    <w:rsid w:val="004A603B"/>
    <w:rsid w:val="004C5522"/>
    <w:rsid w:val="004D00F8"/>
    <w:rsid w:val="004D3622"/>
    <w:rsid w:val="004D4AEC"/>
    <w:rsid w:val="004D6D5A"/>
    <w:rsid w:val="004E15E8"/>
    <w:rsid w:val="004E47BA"/>
    <w:rsid w:val="004E5F15"/>
    <w:rsid w:val="004F1D8D"/>
    <w:rsid w:val="005049A5"/>
    <w:rsid w:val="005051BD"/>
    <w:rsid w:val="0051211E"/>
    <w:rsid w:val="0052012F"/>
    <w:rsid w:val="00520D8E"/>
    <w:rsid w:val="00537879"/>
    <w:rsid w:val="0053795F"/>
    <w:rsid w:val="00563E6D"/>
    <w:rsid w:val="005760E8"/>
    <w:rsid w:val="0057716C"/>
    <w:rsid w:val="00584E17"/>
    <w:rsid w:val="00590ACF"/>
    <w:rsid w:val="00590FC5"/>
    <w:rsid w:val="00591F3C"/>
    <w:rsid w:val="005A09B9"/>
    <w:rsid w:val="005A4724"/>
    <w:rsid w:val="005B2BA5"/>
    <w:rsid w:val="005C5A81"/>
    <w:rsid w:val="005D05BC"/>
    <w:rsid w:val="005D1565"/>
    <w:rsid w:val="005E1A64"/>
    <w:rsid w:val="005E764A"/>
    <w:rsid w:val="005F60C3"/>
    <w:rsid w:val="005F6A4A"/>
    <w:rsid w:val="00613919"/>
    <w:rsid w:val="0062448E"/>
    <w:rsid w:val="0062562E"/>
    <w:rsid w:val="00625B6A"/>
    <w:rsid w:val="0063601F"/>
    <w:rsid w:val="00636A44"/>
    <w:rsid w:val="00637CB8"/>
    <w:rsid w:val="006444C4"/>
    <w:rsid w:val="00645CE0"/>
    <w:rsid w:val="00650C02"/>
    <w:rsid w:val="00654EF4"/>
    <w:rsid w:val="00662E30"/>
    <w:rsid w:val="00682C14"/>
    <w:rsid w:val="00685304"/>
    <w:rsid w:val="006857D3"/>
    <w:rsid w:val="0069021D"/>
    <w:rsid w:val="006922F3"/>
    <w:rsid w:val="00697F68"/>
    <w:rsid w:val="006A3014"/>
    <w:rsid w:val="006A5281"/>
    <w:rsid w:val="006A5D10"/>
    <w:rsid w:val="006B091F"/>
    <w:rsid w:val="006C5742"/>
    <w:rsid w:val="006D0A3C"/>
    <w:rsid w:val="006D607F"/>
    <w:rsid w:val="006E1260"/>
    <w:rsid w:val="006F4DC1"/>
    <w:rsid w:val="00700BA7"/>
    <w:rsid w:val="00705DFA"/>
    <w:rsid w:val="00706533"/>
    <w:rsid w:val="00707E94"/>
    <w:rsid w:val="00716740"/>
    <w:rsid w:val="00717739"/>
    <w:rsid w:val="00723047"/>
    <w:rsid w:val="007333B1"/>
    <w:rsid w:val="00735343"/>
    <w:rsid w:val="00743D9D"/>
    <w:rsid w:val="00746155"/>
    <w:rsid w:val="0074651D"/>
    <w:rsid w:val="007502F4"/>
    <w:rsid w:val="00753DD7"/>
    <w:rsid w:val="00756646"/>
    <w:rsid w:val="00765240"/>
    <w:rsid w:val="00765332"/>
    <w:rsid w:val="0076585C"/>
    <w:rsid w:val="00766597"/>
    <w:rsid w:val="00771C9B"/>
    <w:rsid w:val="00775BD6"/>
    <w:rsid w:val="00787B06"/>
    <w:rsid w:val="00793E85"/>
    <w:rsid w:val="00794DEC"/>
    <w:rsid w:val="007A3823"/>
    <w:rsid w:val="007B2728"/>
    <w:rsid w:val="007B4604"/>
    <w:rsid w:val="007C1A92"/>
    <w:rsid w:val="007D26C2"/>
    <w:rsid w:val="007D56B5"/>
    <w:rsid w:val="007E4F6F"/>
    <w:rsid w:val="007E563D"/>
    <w:rsid w:val="007F1F42"/>
    <w:rsid w:val="007F2F5F"/>
    <w:rsid w:val="007F4C93"/>
    <w:rsid w:val="007F58D8"/>
    <w:rsid w:val="0080236E"/>
    <w:rsid w:val="00807E7C"/>
    <w:rsid w:val="00817AAB"/>
    <w:rsid w:val="00817C8F"/>
    <w:rsid w:val="00822749"/>
    <w:rsid w:val="00822FE8"/>
    <w:rsid w:val="00826716"/>
    <w:rsid w:val="008342CA"/>
    <w:rsid w:val="0083570E"/>
    <w:rsid w:val="0084002E"/>
    <w:rsid w:val="00840608"/>
    <w:rsid w:val="00850C20"/>
    <w:rsid w:val="00851600"/>
    <w:rsid w:val="00852AE0"/>
    <w:rsid w:val="0085642E"/>
    <w:rsid w:val="00866928"/>
    <w:rsid w:val="00871AB7"/>
    <w:rsid w:val="00873F37"/>
    <w:rsid w:val="00883DD3"/>
    <w:rsid w:val="00883E71"/>
    <w:rsid w:val="00891879"/>
    <w:rsid w:val="00893445"/>
    <w:rsid w:val="008A67FA"/>
    <w:rsid w:val="008A6908"/>
    <w:rsid w:val="008B353E"/>
    <w:rsid w:val="008B4012"/>
    <w:rsid w:val="008C645D"/>
    <w:rsid w:val="008C779B"/>
    <w:rsid w:val="008D1218"/>
    <w:rsid w:val="008D353E"/>
    <w:rsid w:val="008D61EB"/>
    <w:rsid w:val="008E3CC9"/>
    <w:rsid w:val="008F361D"/>
    <w:rsid w:val="008F527D"/>
    <w:rsid w:val="008F58AA"/>
    <w:rsid w:val="009075EB"/>
    <w:rsid w:val="00913203"/>
    <w:rsid w:val="00917284"/>
    <w:rsid w:val="00922505"/>
    <w:rsid w:val="00926704"/>
    <w:rsid w:val="009275EF"/>
    <w:rsid w:val="00927749"/>
    <w:rsid w:val="009327E1"/>
    <w:rsid w:val="009341E1"/>
    <w:rsid w:val="00942002"/>
    <w:rsid w:val="00945F4E"/>
    <w:rsid w:val="0094744B"/>
    <w:rsid w:val="009602C6"/>
    <w:rsid w:val="0096252D"/>
    <w:rsid w:val="00972137"/>
    <w:rsid w:val="00973522"/>
    <w:rsid w:val="009767A0"/>
    <w:rsid w:val="00977FB1"/>
    <w:rsid w:val="00980DB0"/>
    <w:rsid w:val="009810EF"/>
    <w:rsid w:val="00984E49"/>
    <w:rsid w:val="00985FBF"/>
    <w:rsid w:val="0098780A"/>
    <w:rsid w:val="00987E8C"/>
    <w:rsid w:val="009926F9"/>
    <w:rsid w:val="00994814"/>
    <w:rsid w:val="009A271E"/>
    <w:rsid w:val="009A7043"/>
    <w:rsid w:val="009B087A"/>
    <w:rsid w:val="009B2E07"/>
    <w:rsid w:val="009B3817"/>
    <w:rsid w:val="009B3CE2"/>
    <w:rsid w:val="009B42AB"/>
    <w:rsid w:val="009B6856"/>
    <w:rsid w:val="009C4129"/>
    <w:rsid w:val="009C5D07"/>
    <w:rsid w:val="009C7319"/>
    <w:rsid w:val="009D0078"/>
    <w:rsid w:val="009D25A2"/>
    <w:rsid w:val="009D3E35"/>
    <w:rsid w:val="009D42CE"/>
    <w:rsid w:val="009D777A"/>
    <w:rsid w:val="009E3359"/>
    <w:rsid w:val="009F40D6"/>
    <w:rsid w:val="009F56C8"/>
    <w:rsid w:val="00A0388B"/>
    <w:rsid w:val="00A05188"/>
    <w:rsid w:val="00A138CD"/>
    <w:rsid w:val="00A2567E"/>
    <w:rsid w:val="00A279B3"/>
    <w:rsid w:val="00A4088C"/>
    <w:rsid w:val="00A42E84"/>
    <w:rsid w:val="00A44480"/>
    <w:rsid w:val="00A50EE7"/>
    <w:rsid w:val="00A55FBB"/>
    <w:rsid w:val="00A565E6"/>
    <w:rsid w:val="00A656E2"/>
    <w:rsid w:val="00A70602"/>
    <w:rsid w:val="00A71BAC"/>
    <w:rsid w:val="00A76473"/>
    <w:rsid w:val="00A77603"/>
    <w:rsid w:val="00A94740"/>
    <w:rsid w:val="00AA1A05"/>
    <w:rsid w:val="00AA3286"/>
    <w:rsid w:val="00AA5D11"/>
    <w:rsid w:val="00AB1EF1"/>
    <w:rsid w:val="00AB35AF"/>
    <w:rsid w:val="00AC1412"/>
    <w:rsid w:val="00AC58A5"/>
    <w:rsid w:val="00AD573F"/>
    <w:rsid w:val="00AE386F"/>
    <w:rsid w:val="00AE5FCC"/>
    <w:rsid w:val="00AF2123"/>
    <w:rsid w:val="00B05810"/>
    <w:rsid w:val="00B119F5"/>
    <w:rsid w:val="00B20187"/>
    <w:rsid w:val="00B22186"/>
    <w:rsid w:val="00B259A5"/>
    <w:rsid w:val="00B26F25"/>
    <w:rsid w:val="00B34ECC"/>
    <w:rsid w:val="00B422A5"/>
    <w:rsid w:val="00B4549D"/>
    <w:rsid w:val="00B51F22"/>
    <w:rsid w:val="00B610F3"/>
    <w:rsid w:val="00B621CD"/>
    <w:rsid w:val="00B71028"/>
    <w:rsid w:val="00B80F50"/>
    <w:rsid w:val="00B90922"/>
    <w:rsid w:val="00B91798"/>
    <w:rsid w:val="00B928F2"/>
    <w:rsid w:val="00BA0514"/>
    <w:rsid w:val="00BA0519"/>
    <w:rsid w:val="00BB1C9F"/>
    <w:rsid w:val="00BB2DFF"/>
    <w:rsid w:val="00BB7305"/>
    <w:rsid w:val="00BC0D50"/>
    <w:rsid w:val="00BC1023"/>
    <w:rsid w:val="00BC1BA6"/>
    <w:rsid w:val="00BC2EE1"/>
    <w:rsid w:val="00BC6E4E"/>
    <w:rsid w:val="00BD34AA"/>
    <w:rsid w:val="00BD3DEA"/>
    <w:rsid w:val="00BD413B"/>
    <w:rsid w:val="00BD4C50"/>
    <w:rsid w:val="00BE4725"/>
    <w:rsid w:val="00BE67B8"/>
    <w:rsid w:val="00BE7E29"/>
    <w:rsid w:val="00BF1C2A"/>
    <w:rsid w:val="00BF36B1"/>
    <w:rsid w:val="00BF4B56"/>
    <w:rsid w:val="00BF7409"/>
    <w:rsid w:val="00C047F7"/>
    <w:rsid w:val="00C06CBA"/>
    <w:rsid w:val="00C132DD"/>
    <w:rsid w:val="00C139B0"/>
    <w:rsid w:val="00C20ECD"/>
    <w:rsid w:val="00C240A2"/>
    <w:rsid w:val="00C246F4"/>
    <w:rsid w:val="00C2610D"/>
    <w:rsid w:val="00C3766C"/>
    <w:rsid w:val="00C462D3"/>
    <w:rsid w:val="00C56252"/>
    <w:rsid w:val="00C906DC"/>
    <w:rsid w:val="00CB0A15"/>
    <w:rsid w:val="00CB1476"/>
    <w:rsid w:val="00CB25FE"/>
    <w:rsid w:val="00CB5374"/>
    <w:rsid w:val="00CC03ED"/>
    <w:rsid w:val="00CD2611"/>
    <w:rsid w:val="00CD54AA"/>
    <w:rsid w:val="00CE4AC1"/>
    <w:rsid w:val="00CE7575"/>
    <w:rsid w:val="00D04F40"/>
    <w:rsid w:val="00D076BE"/>
    <w:rsid w:val="00D10762"/>
    <w:rsid w:val="00D23300"/>
    <w:rsid w:val="00D23C0C"/>
    <w:rsid w:val="00D35120"/>
    <w:rsid w:val="00D354A0"/>
    <w:rsid w:val="00D36A04"/>
    <w:rsid w:val="00D4702E"/>
    <w:rsid w:val="00D51BA0"/>
    <w:rsid w:val="00D53640"/>
    <w:rsid w:val="00D56EDF"/>
    <w:rsid w:val="00D60E3C"/>
    <w:rsid w:val="00D623B9"/>
    <w:rsid w:val="00D647BD"/>
    <w:rsid w:val="00D65411"/>
    <w:rsid w:val="00D67D31"/>
    <w:rsid w:val="00D71D2E"/>
    <w:rsid w:val="00D80112"/>
    <w:rsid w:val="00D843C9"/>
    <w:rsid w:val="00DB0F61"/>
    <w:rsid w:val="00DB7E53"/>
    <w:rsid w:val="00DB7F5A"/>
    <w:rsid w:val="00DC5902"/>
    <w:rsid w:val="00DC5D6A"/>
    <w:rsid w:val="00DD02AE"/>
    <w:rsid w:val="00DD05E0"/>
    <w:rsid w:val="00DE415E"/>
    <w:rsid w:val="00DE4D2D"/>
    <w:rsid w:val="00DE5A91"/>
    <w:rsid w:val="00E037B7"/>
    <w:rsid w:val="00E051D7"/>
    <w:rsid w:val="00E116FE"/>
    <w:rsid w:val="00E12545"/>
    <w:rsid w:val="00E12C04"/>
    <w:rsid w:val="00E22413"/>
    <w:rsid w:val="00E230F3"/>
    <w:rsid w:val="00E26F64"/>
    <w:rsid w:val="00E35758"/>
    <w:rsid w:val="00E37769"/>
    <w:rsid w:val="00E5074B"/>
    <w:rsid w:val="00E513B7"/>
    <w:rsid w:val="00E5678B"/>
    <w:rsid w:val="00E6536E"/>
    <w:rsid w:val="00E656B9"/>
    <w:rsid w:val="00E66A63"/>
    <w:rsid w:val="00E67EC7"/>
    <w:rsid w:val="00E71BBF"/>
    <w:rsid w:val="00E7766D"/>
    <w:rsid w:val="00E77CC8"/>
    <w:rsid w:val="00E85808"/>
    <w:rsid w:val="00E932B4"/>
    <w:rsid w:val="00E94388"/>
    <w:rsid w:val="00E97A06"/>
    <w:rsid w:val="00EA1F6F"/>
    <w:rsid w:val="00EA27BA"/>
    <w:rsid w:val="00EA3C35"/>
    <w:rsid w:val="00EB16B1"/>
    <w:rsid w:val="00EB1EF0"/>
    <w:rsid w:val="00EB2FB9"/>
    <w:rsid w:val="00EB6C4B"/>
    <w:rsid w:val="00ED31A1"/>
    <w:rsid w:val="00ED3BA3"/>
    <w:rsid w:val="00ED567F"/>
    <w:rsid w:val="00ED5E0B"/>
    <w:rsid w:val="00ED6201"/>
    <w:rsid w:val="00ED733B"/>
    <w:rsid w:val="00EE1A71"/>
    <w:rsid w:val="00EE5C31"/>
    <w:rsid w:val="00EF0412"/>
    <w:rsid w:val="00EF04BA"/>
    <w:rsid w:val="00F02032"/>
    <w:rsid w:val="00F035B0"/>
    <w:rsid w:val="00F05D62"/>
    <w:rsid w:val="00F12169"/>
    <w:rsid w:val="00F15671"/>
    <w:rsid w:val="00F16BC4"/>
    <w:rsid w:val="00F34A20"/>
    <w:rsid w:val="00F556DE"/>
    <w:rsid w:val="00F604CA"/>
    <w:rsid w:val="00F63207"/>
    <w:rsid w:val="00F67051"/>
    <w:rsid w:val="00F81180"/>
    <w:rsid w:val="00F85711"/>
    <w:rsid w:val="00F8583E"/>
    <w:rsid w:val="00F85C6C"/>
    <w:rsid w:val="00F86FF9"/>
    <w:rsid w:val="00F94C71"/>
    <w:rsid w:val="00F97C32"/>
    <w:rsid w:val="00FA0912"/>
    <w:rsid w:val="00FA0A84"/>
    <w:rsid w:val="00FA56A4"/>
    <w:rsid w:val="00FA74FE"/>
    <w:rsid w:val="00FB1DAA"/>
    <w:rsid w:val="00FB6F98"/>
    <w:rsid w:val="00FB6FB9"/>
    <w:rsid w:val="00FC6693"/>
    <w:rsid w:val="00FD7C5D"/>
    <w:rsid w:val="00FE032D"/>
    <w:rsid w:val="00FF0A70"/>
    <w:rsid w:val="00FF6DB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CBD6"/>
  <w15:chartTrackingRefBased/>
  <w15:docId w15:val="{4FFB92EE-0C4F-4B28-BADF-F73A933A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3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3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327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327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327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327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27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27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27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327E1"/>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9327E1"/>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9327E1"/>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9327E1"/>
    <w:rPr>
      <w:rFonts w:eastAsiaTheme="majorEastAsia" w:cstheme="majorBidi"/>
      <w:i/>
      <w:iCs/>
      <w:color w:val="0F4761" w:themeColor="accent1" w:themeShade="BF"/>
    </w:rPr>
  </w:style>
  <w:style w:type="character" w:customStyle="1" w:styleId="5Char">
    <w:name w:val="제목 5 Char"/>
    <w:basedOn w:val="a0"/>
    <w:link w:val="5"/>
    <w:uiPriority w:val="9"/>
    <w:semiHidden/>
    <w:rsid w:val="009327E1"/>
    <w:rPr>
      <w:rFonts w:eastAsiaTheme="majorEastAsia" w:cstheme="majorBidi"/>
      <w:color w:val="0F4761" w:themeColor="accent1" w:themeShade="BF"/>
    </w:rPr>
  </w:style>
  <w:style w:type="character" w:customStyle="1" w:styleId="6Char">
    <w:name w:val="제목 6 Char"/>
    <w:basedOn w:val="a0"/>
    <w:link w:val="6"/>
    <w:uiPriority w:val="9"/>
    <w:semiHidden/>
    <w:rsid w:val="009327E1"/>
    <w:rPr>
      <w:rFonts w:eastAsiaTheme="majorEastAsia" w:cstheme="majorBidi"/>
      <w:i/>
      <w:iCs/>
      <w:color w:val="595959" w:themeColor="text1" w:themeTint="A6"/>
    </w:rPr>
  </w:style>
  <w:style w:type="character" w:customStyle="1" w:styleId="7Char">
    <w:name w:val="제목 7 Char"/>
    <w:basedOn w:val="a0"/>
    <w:link w:val="7"/>
    <w:uiPriority w:val="9"/>
    <w:semiHidden/>
    <w:rsid w:val="009327E1"/>
    <w:rPr>
      <w:rFonts w:eastAsiaTheme="majorEastAsia" w:cstheme="majorBidi"/>
      <w:color w:val="595959" w:themeColor="text1" w:themeTint="A6"/>
    </w:rPr>
  </w:style>
  <w:style w:type="character" w:customStyle="1" w:styleId="8Char">
    <w:name w:val="제목 8 Char"/>
    <w:basedOn w:val="a0"/>
    <w:link w:val="8"/>
    <w:uiPriority w:val="9"/>
    <w:semiHidden/>
    <w:rsid w:val="009327E1"/>
    <w:rPr>
      <w:rFonts w:eastAsiaTheme="majorEastAsia" w:cstheme="majorBidi"/>
      <w:i/>
      <w:iCs/>
      <w:color w:val="272727" w:themeColor="text1" w:themeTint="D8"/>
    </w:rPr>
  </w:style>
  <w:style w:type="character" w:customStyle="1" w:styleId="9Char">
    <w:name w:val="제목 9 Char"/>
    <w:basedOn w:val="a0"/>
    <w:link w:val="9"/>
    <w:uiPriority w:val="9"/>
    <w:semiHidden/>
    <w:rsid w:val="009327E1"/>
    <w:rPr>
      <w:rFonts w:eastAsiaTheme="majorEastAsia" w:cstheme="majorBidi"/>
      <w:color w:val="272727" w:themeColor="text1" w:themeTint="D8"/>
    </w:rPr>
  </w:style>
  <w:style w:type="paragraph" w:styleId="a3">
    <w:name w:val="Title"/>
    <w:basedOn w:val="a"/>
    <w:next w:val="a"/>
    <w:link w:val="Char"/>
    <w:uiPriority w:val="10"/>
    <w:qFormat/>
    <w:rsid w:val="0093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327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27E1"/>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9327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27E1"/>
    <w:pPr>
      <w:spacing w:before="160"/>
      <w:jc w:val="center"/>
    </w:pPr>
    <w:rPr>
      <w:i/>
      <w:iCs/>
      <w:color w:val="404040" w:themeColor="text1" w:themeTint="BF"/>
    </w:rPr>
  </w:style>
  <w:style w:type="character" w:customStyle="1" w:styleId="Char1">
    <w:name w:val="인용 Char"/>
    <w:basedOn w:val="a0"/>
    <w:link w:val="a5"/>
    <w:uiPriority w:val="29"/>
    <w:rsid w:val="009327E1"/>
    <w:rPr>
      <w:i/>
      <w:iCs/>
      <w:color w:val="404040" w:themeColor="text1" w:themeTint="BF"/>
    </w:rPr>
  </w:style>
  <w:style w:type="paragraph" w:styleId="a6">
    <w:name w:val="List Paragraph"/>
    <w:basedOn w:val="a"/>
    <w:uiPriority w:val="34"/>
    <w:qFormat/>
    <w:rsid w:val="009327E1"/>
    <w:pPr>
      <w:ind w:left="720"/>
      <w:contextualSpacing/>
    </w:pPr>
  </w:style>
  <w:style w:type="character" w:styleId="a7">
    <w:name w:val="Intense Emphasis"/>
    <w:basedOn w:val="a0"/>
    <w:uiPriority w:val="21"/>
    <w:qFormat/>
    <w:rsid w:val="009327E1"/>
    <w:rPr>
      <w:i/>
      <w:iCs/>
      <w:color w:val="0F4761" w:themeColor="accent1" w:themeShade="BF"/>
    </w:rPr>
  </w:style>
  <w:style w:type="paragraph" w:styleId="a8">
    <w:name w:val="Intense Quote"/>
    <w:basedOn w:val="a"/>
    <w:next w:val="a"/>
    <w:link w:val="Char2"/>
    <w:uiPriority w:val="30"/>
    <w:qFormat/>
    <w:rsid w:val="0093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327E1"/>
    <w:rPr>
      <w:i/>
      <w:iCs/>
      <w:color w:val="0F4761" w:themeColor="accent1" w:themeShade="BF"/>
    </w:rPr>
  </w:style>
  <w:style w:type="character" w:styleId="a9">
    <w:name w:val="Intense Reference"/>
    <w:basedOn w:val="a0"/>
    <w:uiPriority w:val="32"/>
    <w:qFormat/>
    <w:rsid w:val="009327E1"/>
    <w:rPr>
      <w:b/>
      <w:bCs/>
      <w:smallCaps/>
      <w:color w:val="0F4761" w:themeColor="accent1" w:themeShade="BF"/>
      <w:spacing w:val="5"/>
    </w:rPr>
  </w:style>
  <w:style w:type="paragraph" w:styleId="aa">
    <w:name w:val="footnote text"/>
    <w:basedOn w:val="a"/>
    <w:link w:val="Char3"/>
    <w:uiPriority w:val="99"/>
    <w:semiHidden/>
    <w:unhideWhenUsed/>
    <w:rsid w:val="0084002E"/>
    <w:pPr>
      <w:spacing w:after="0" w:line="240" w:lineRule="auto"/>
    </w:pPr>
    <w:rPr>
      <w:sz w:val="20"/>
      <w:szCs w:val="20"/>
    </w:rPr>
  </w:style>
  <w:style w:type="character" w:customStyle="1" w:styleId="Char3">
    <w:name w:val="각주 텍스트 Char"/>
    <w:basedOn w:val="a0"/>
    <w:link w:val="aa"/>
    <w:uiPriority w:val="99"/>
    <w:semiHidden/>
    <w:rsid w:val="0084002E"/>
    <w:rPr>
      <w:sz w:val="20"/>
      <w:szCs w:val="20"/>
    </w:rPr>
  </w:style>
  <w:style w:type="character" w:styleId="ab">
    <w:name w:val="footnote reference"/>
    <w:basedOn w:val="a0"/>
    <w:uiPriority w:val="99"/>
    <w:semiHidden/>
    <w:unhideWhenUsed/>
    <w:rsid w:val="0084002E"/>
    <w:rPr>
      <w:vertAlign w:val="superscript"/>
    </w:rPr>
  </w:style>
  <w:style w:type="paragraph" w:customStyle="1" w:styleId="QuoteText">
    <w:name w:val="Quote_Text"/>
    <w:rsid w:val="0053795F"/>
    <w:pPr>
      <w:spacing w:after="240" w:line="360" w:lineRule="auto"/>
      <w:ind w:left="720"/>
      <w:jc w:val="both"/>
    </w:pPr>
    <w:rPr>
      <w:rFonts w:ascii="Times New Roman" w:eastAsia="Times New Roman" w:hAnsi="Times New Roman" w:cs="Times New Roman"/>
      <w:kern w:val="0"/>
      <w:sz w:val="20"/>
      <w:szCs w:val="20"/>
      <w:lang w:val="x-none" w:eastAsia="en-IN"/>
      <w14:ligatures w14:val="none"/>
    </w:rPr>
  </w:style>
  <w:style w:type="paragraph" w:styleId="ac">
    <w:name w:val="header"/>
    <w:basedOn w:val="a"/>
    <w:link w:val="Char4"/>
    <w:uiPriority w:val="99"/>
    <w:unhideWhenUsed/>
    <w:rsid w:val="004A4CD6"/>
    <w:pPr>
      <w:tabs>
        <w:tab w:val="center" w:pos="4513"/>
        <w:tab w:val="right" w:pos="9026"/>
      </w:tabs>
      <w:spacing w:after="0" w:line="240" w:lineRule="auto"/>
    </w:pPr>
  </w:style>
  <w:style w:type="character" w:customStyle="1" w:styleId="Char4">
    <w:name w:val="머리글 Char"/>
    <w:basedOn w:val="a0"/>
    <w:link w:val="ac"/>
    <w:uiPriority w:val="99"/>
    <w:rsid w:val="004A4CD6"/>
  </w:style>
  <w:style w:type="paragraph" w:styleId="ad">
    <w:name w:val="footer"/>
    <w:basedOn w:val="a"/>
    <w:link w:val="Char5"/>
    <w:uiPriority w:val="99"/>
    <w:unhideWhenUsed/>
    <w:rsid w:val="004A4CD6"/>
    <w:pPr>
      <w:tabs>
        <w:tab w:val="center" w:pos="4513"/>
        <w:tab w:val="right" w:pos="9026"/>
      </w:tabs>
      <w:spacing w:after="0" w:line="240" w:lineRule="auto"/>
    </w:pPr>
  </w:style>
  <w:style w:type="character" w:customStyle="1" w:styleId="Char5">
    <w:name w:val="바닥글 Char"/>
    <w:basedOn w:val="a0"/>
    <w:link w:val="ad"/>
    <w:uiPriority w:val="99"/>
    <w:rsid w:val="004A4CD6"/>
  </w:style>
  <w:style w:type="character" w:styleId="ae">
    <w:name w:val="Hyperlink"/>
    <w:basedOn w:val="a0"/>
    <w:uiPriority w:val="99"/>
    <w:unhideWhenUsed/>
    <w:rsid w:val="00765332"/>
    <w:rPr>
      <w:color w:val="467886" w:themeColor="hyperlink"/>
      <w:u w:val="single"/>
    </w:rPr>
  </w:style>
  <w:style w:type="character" w:styleId="af">
    <w:name w:val="Unresolved Mention"/>
    <w:basedOn w:val="a0"/>
    <w:uiPriority w:val="99"/>
    <w:semiHidden/>
    <w:unhideWhenUsed/>
    <w:rsid w:val="0076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ssrn.com/abstract=6105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11921</Words>
  <Characters>67956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Davies</dc:creator>
  <cp:keywords/>
  <dc:description/>
  <cp:lastModifiedBy>건식 김</cp:lastModifiedBy>
  <cp:revision>2</cp:revision>
  <dcterms:created xsi:type="dcterms:W3CDTF">2026-06-23T01:18:00Z</dcterms:created>
  <dcterms:modified xsi:type="dcterms:W3CDTF">2026-06-23T01:18:00Z</dcterms:modified>
</cp:coreProperties>
</file>